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DE" w:rsidRDefault="00746B11" w:rsidP="00C006A5">
      <w:pPr>
        <w:pStyle w:val="Normlnweb"/>
        <w:spacing w:line="360" w:lineRule="auto"/>
        <w:rPr>
          <w:b/>
        </w:rPr>
      </w:pPr>
      <w:r>
        <w:rPr>
          <w:b/>
        </w:rPr>
        <w:t>Kapitola z knihy Oliverius, kohout et al</w:t>
      </w:r>
      <w:r w:rsidR="001F7CDE">
        <w:rPr>
          <w:b/>
        </w:rPr>
        <w:t>, Mladá fronta 2017</w:t>
      </w:r>
    </w:p>
    <w:p w:rsidR="007518CC" w:rsidRPr="00C20695" w:rsidRDefault="007518CC" w:rsidP="00C006A5">
      <w:pPr>
        <w:pStyle w:val="Normlnweb"/>
        <w:spacing w:line="360" w:lineRule="auto"/>
        <w:rPr>
          <w:b/>
        </w:rPr>
      </w:pPr>
      <w:r w:rsidRPr="00C20695">
        <w:rPr>
          <w:b/>
        </w:rPr>
        <w:t>Biochemická monitorace nutriční péče u pacientů se selháním střeva.</w:t>
      </w:r>
      <w:r w:rsidR="001F7CDE">
        <w:rPr>
          <w:b/>
        </w:rPr>
        <w:t xml:space="preserve"> Brodská H.</w:t>
      </w:r>
      <w:bookmarkStart w:id="0" w:name="_GoBack"/>
      <w:bookmarkEnd w:id="0"/>
    </w:p>
    <w:p w:rsidR="007518CC" w:rsidRPr="00C20695" w:rsidRDefault="00C35E83" w:rsidP="00C006A5">
      <w:pPr>
        <w:pStyle w:val="Normlnweb"/>
        <w:spacing w:line="360" w:lineRule="auto"/>
        <w:rPr>
          <w:b/>
        </w:rPr>
      </w:pPr>
      <w:r w:rsidRPr="00C20695">
        <w:rPr>
          <w:b/>
        </w:rPr>
        <w:t>Úvod</w:t>
      </w:r>
    </w:p>
    <w:p w:rsidR="00D106AC" w:rsidRPr="00C20695" w:rsidRDefault="007518CC" w:rsidP="00C006A5">
      <w:pPr>
        <w:pStyle w:val="Normlnweb"/>
        <w:spacing w:line="360" w:lineRule="auto"/>
      </w:pPr>
      <w:r w:rsidRPr="00C20695">
        <w:t>Nutriční intervence u pacientů se selháním střeva a eventuálně dále u pacientů s transplantovaným střevem je komplexní záležitost</w:t>
      </w:r>
      <w:r w:rsidR="00E4400D" w:rsidRPr="00C20695">
        <w:t>. Jak vyplývá ze základního principu této problematiky, pacient prochází několika fázemi, ve kterých se nutriční intervence významně mění. V první fázi- předtransplantační- je selhané střevo většinou zcela vyřazeno a dodávka makro a mikronutrientů, stejně tak jako tekutiny jsou podávány výhradně parenterální cestou.</w:t>
      </w:r>
      <w:r w:rsidR="00A86ED8" w:rsidRPr="00C20695">
        <w:t xml:space="preserve"> V druhé fázi- časně potransplantační-</w:t>
      </w:r>
      <w:r w:rsidR="0042593A" w:rsidRPr="00C20695">
        <w:t xml:space="preserve"> se realizuje přechod z parenterální výživy na výživu enterální. Zahajuje se po obnově motility štěpu, zpravidla třetí až sedmý pooperační den. Existují různé přístupy k volbě podávané enterální výživy, jsou diskutovány výhody nižší antigenní zátěže oligomerní výživy</w:t>
      </w:r>
      <w:r w:rsidR="008F2679" w:rsidRPr="00C20695">
        <w:t xml:space="preserve"> oproti výhodám fyziologičtější polymerní výživ</w:t>
      </w:r>
      <w:r w:rsidR="00C35E83" w:rsidRPr="00C20695">
        <w:t>y</w:t>
      </w:r>
      <w:r w:rsidR="008F2679" w:rsidRPr="00C20695">
        <w:t>. Přechod na</w:t>
      </w:r>
      <w:r w:rsidR="00C35E83" w:rsidRPr="00C20695">
        <w:t xml:space="preserve"> plnohodnotnou</w:t>
      </w:r>
      <w:r w:rsidR="008F2679" w:rsidRPr="00C20695">
        <w:t xml:space="preserve"> perorální výživu je realizován u většiny pacientů do 1 roku. Ve třetí fázi- dlouhodobé potransplantační- by měla být nutriční intervence součástí léčebné prevence často se vyskytujících potransplantačních metabolických onemocnění. </w:t>
      </w:r>
      <w:r w:rsidR="00D106AC" w:rsidRPr="00C20695">
        <w:t>V literatuře j</w:t>
      </w:r>
      <w:r w:rsidR="008F2679" w:rsidRPr="00C20695">
        <w:t>e popsán po</w:t>
      </w:r>
      <w:r w:rsidR="0006080A">
        <w:t>st</w:t>
      </w:r>
      <w:r w:rsidR="008F2679" w:rsidRPr="00C20695">
        <w:t>transplantační diabetes melitus, hyperlipidémie</w:t>
      </w:r>
      <w:r w:rsidR="00D106AC" w:rsidRPr="00C20695">
        <w:t xml:space="preserve">, </w:t>
      </w:r>
      <w:r w:rsidR="008F2679" w:rsidRPr="00C20695">
        <w:t>obezita a metabolický syndrom</w:t>
      </w:r>
      <w:r w:rsidR="00D106AC" w:rsidRPr="00C20695">
        <w:t xml:space="preserve"> a jejich možné ovlivnění adekvátním dietním opatřením hlavně v této fázi.</w:t>
      </w:r>
    </w:p>
    <w:p w:rsidR="007827AB" w:rsidRPr="00C20695" w:rsidRDefault="00D106AC" w:rsidP="00C006A5">
      <w:pPr>
        <w:pStyle w:val="Normlnweb"/>
        <w:spacing w:line="360" w:lineRule="auto"/>
      </w:pPr>
      <w:r w:rsidRPr="00C20695">
        <w:t>Pro přehlednost prezentované problematiky je i monitorace nutriční podpory rozdělena do výše uvedených fází</w:t>
      </w:r>
      <w:r w:rsidR="00DB0DC3" w:rsidRPr="00C20695">
        <w:t xml:space="preserve"> s důrazem na monitoraci nutriční intervence u pacienta se selhaným střevem s odpovídajícími patofyziologickými konsekvencemi. Další bude rozebráno v následujících kapitolách publikace.</w:t>
      </w:r>
    </w:p>
    <w:p w:rsidR="007827AB" w:rsidRPr="00D2240F" w:rsidRDefault="007827AB" w:rsidP="00C006A5">
      <w:pPr>
        <w:pStyle w:val="Normlnweb"/>
        <w:spacing w:line="360" w:lineRule="auto"/>
        <w:rPr>
          <w:b/>
        </w:rPr>
      </w:pPr>
      <w:r w:rsidRPr="00D2240F">
        <w:rPr>
          <w:b/>
        </w:rPr>
        <w:t>Monitorace nutriční intervence u selhaného střeva -1.fáze</w:t>
      </w:r>
    </w:p>
    <w:p w:rsidR="007518CC" w:rsidRDefault="007827AB" w:rsidP="00C006A5">
      <w:pPr>
        <w:pStyle w:val="Normlnweb"/>
        <w:spacing w:line="360" w:lineRule="auto"/>
      </w:pPr>
      <w:r w:rsidRPr="00C20695">
        <w:t xml:space="preserve">U </w:t>
      </w:r>
      <w:r w:rsidR="00DB0DC3" w:rsidRPr="00C20695">
        <w:t xml:space="preserve">těchto </w:t>
      </w:r>
      <w:r w:rsidRPr="00C20695">
        <w:t>pacientů, zcela závislých na parenterální výživě a parenterálním přívodu tekutin, monitorujeme především stav vnitřního prostředí-tedy případné iontové dysbalance, stav hydratace</w:t>
      </w:r>
      <w:r w:rsidR="00EF2A69" w:rsidRPr="00C20695">
        <w:t>, deficity mikronutrientů</w:t>
      </w:r>
      <w:r w:rsidRPr="00C20695">
        <w:t>. Pravidelně monitorujeme stav orgánových funkcí. Zejména poškození jaterních funkcí ve smyslu intrahepatální cholestázy je vzhledem k základnímu onemocnění, ale i k</w:t>
      </w:r>
      <w:r w:rsidR="002504F1" w:rsidRPr="00C20695">
        <w:t> </w:t>
      </w:r>
      <w:r w:rsidRPr="00C20695">
        <w:t>léčbě</w:t>
      </w:r>
      <w:r w:rsidR="002504F1" w:rsidRPr="00C20695">
        <w:t xml:space="preserve"> a způsobu podání výživy</w:t>
      </w:r>
      <w:r w:rsidRPr="00C20695">
        <w:t xml:space="preserve"> (vyloučení enterálního příjmu a zpomalení až blokace enterohepatálního oběhu</w:t>
      </w:r>
      <w:r w:rsidR="00B67AE1" w:rsidRPr="00C20695">
        <w:t xml:space="preserve"> žlučových kyselin) velice časté a při jeho progresi bývá jednou z indikací k</w:t>
      </w:r>
      <w:r w:rsidR="00EF2A69" w:rsidRPr="00C20695">
        <w:t>e kombinované hepatointestinální</w:t>
      </w:r>
      <w:r w:rsidR="00B67AE1" w:rsidRPr="00C20695">
        <w:t> transplantaci</w:t>
      </w:r>
      <w:r w:rsidR="00EF2A69" w:rsidRPr="00C20695">
        <w:t>.</w:t>
      </w:r>
      <w:r w:rsidR="00F103AB" w:rsidRPr="00C20695">
        <w:t xml:space="preserve"> </w:t>
      </w:r>
      <w:r w:rsidR="00EF2A69" w:rsidRPr="00C20695">
        <w:t xml:space="preserve">Vzhledem k poměrně vysokému zastoupení léků s nefrotoxickým účinkem, zejména u </w:t>
      </w:r>
      <w:r w:rsidR="00EF2A69" w:rsidRPr="00C20695">
        <w:lastRenderedPageBreak/>
        <w:t xml:space="preserve">pacientů v přípravě na transplantaci (imunosupresiva, antimykotika, antibiotika) je třeba pozorně monitorovat stav renálních funkcí. </w:t>
      </w:r>
      <w:r w:rsidR="00F103AB" w:rsidRPr="00C20695">
        <w:t>Zásadní význam má též monitorace přítomnosti zánětu a to nejen pro rozvoj, či prohloubení stávající malnutrice.</w:t>
      </w:r>
      <w:r w:rsidR="002504F1" w:rsidRPr="00C20695">
        <w:t xml:space="preserve"> V kontextu následných fází potransplantačních je uváděna tato první fáze jako velmi příhodná, vzhledem k výhradnímu parenterálnímu přístupu, pro pokud možno snadnou a rychlou korekci deficitů, či přebytků jak makro, tak mikronutrientů. </w:t>
      </w:r>
      <w:r w:rsidR="00F103AB" w:rsidRPr="00C20695">
        <w:t>Je třeba si uvědomit, že u pacientů se selhaným střevem je nutný individuální přístup v sestavování parenterální výživy a to jak zastoupení makro, tak mikronutrientů. Nakolik lze zatížit často již limitní funkci jater a ledvin přívodem makronutrientů</w:t>
      </w:r>
      <w:r w:rsidR="00C35E83" w:rsidRPr="00C20695">
        <w:t>, kolik podat glukózy, aminokyselin a tuků a v jakém poměru?</w:t>
      </w:r>
      <w:r w:rsidR="00F103AB" w:rsidRPr="00C20695">
        <w:t xml:space="preserve"> Substituce a případná fortifikace stopových prvků pomocí multisložkových preparátů díky vysokému obsahu manganu a mědi téměř ve všech dostupných preparátech</w:t>
      </w:r>
      <w:r w:rsidR="00C35E83" w:rsidRPr="00C20695">
        <w:t xml:space="preserve"> nelze použít právě u pacientů s cholestatickou hepatopatií pro možné hromadění a hrozící neurotoxické poškození při hypermanganémii. Jsou navrhovány speciální mixtury obsahující stopové prvky a vitamíny právě pro tyto pacienty. Takže i zde je třeba velmi individuální přístup.</w:t>
      </w:r>
      <w:r w:rsidR="002504F1" w:rsidRPr="00C20695">
        <w:t xml:space="preserve"> </w:t>
      </w:r>
    </w:p>
    <w:p w:rsidR="00C006A5" w:rsidRDefault="00C006A5" w:rsidP="00C006A5">
      <w:pPr>
        <w:pStyle w:val="Normlnweb"/>
        <w:spacing w:line="360" w:lineRule="auto"/>
      </w:pPr>
      <w:r>
        <w:t>V přehledu jsou dále uváděny laboratorní markery běžně dostupné k monitoraci pacienta jak standartně, tak v režimu STATIM (s vyjímkou monitorace mikronutrientů).</w:t>
      </w:r>
    </w:p>
    <w:p w:rsidR="001A2C4B" w:rsidRPr="00C20695" w:rsidRDefault="001A2C4B" w:rsidP="00C006A5">
      <w:pPr>
        <w:pStyle w:val="Normlnweb"/>
        <w:spacing w:line="360" w:lineRule="auto"/>
      </w:pPr>
      <w:r>
        <w:t>Pro posouzení stavu hydratace pacienta a jeho případných minerálových dysbalancí vyšetřujeme pravidelně koncentraci Na, K, Cl a to jak v krvi, tak v moči.</w:t>
      </w:r>
      <w:r w:rsidR="00441A3C">
        <w:t xml:space="preserve"> V krvi iontogram rozšiřujeme standartně o monitoraci Mg, Ca (ionizované) a PO4.</w:t>
      </w:r>
      <w:r>
        <w:t xml:space="preserve"> Posuzujeme vzájemný vztah množství vody a Na, z tohoto pak usuzujeme na hyper, normo, či hyponatremickou dehydrataci</w:t>
      </w:r>
      <w:r w:rsidR="0006080A">
        <w:t>, nebo hyperhydrataci</w:t>
      </w:r>
      <w:r>
        <w:t>. Vztah Na a vody je zásadní pro kauzální léčbu zjištěné poruchy.</w:t>
      </w:r>
    </w:p>
    <w:p w:rsidR="00C20695" w:rsidRPr="00D2240F" w:rsidRDefault="00DB2A87" w:rsidP="00D2240F">
      <w:pPr>
        <w:spacing w:line="360" w:lineRule="auto"/>
        <w:rPr>
          <w:rFonts w:ascii="Times New Roman" w:hAnsi="Times New Roman" w:cs="Times New Roman"/>
          <w:sz w:val="24"/>
          <w:szCs w:val="24"/>
        </w:rPr>
      </w:pPr>
      <w:r>
        <w:rPr>
          <w:rFonts w:ascii="Times New Roman" w:hAnsi="Times New Roman" w:cs="Times New Roman"/>
          <w:b/>
          <w:sz w:val="24"/>
          <w:szCs w:val="24"/>
        </w:rPr>
        <w:t xml:space="preserve">Hypernatremie </w:t>
      </w:r>
      <w:r w:rsidRPr="00DB2A87">
        <w:rPr>
          <w:rFonts w:ascii="Times New Roman" w:hAnsi="Times New Roman" w:cs="Times New Roman"/>
          <w:sz w:val="24"/>
          <w:szCs w:val="24"/>
        </w:rPr>
        <w:t>n</w:t>
      </w:r>
      <w:r w:rsidR="00C20695" w:rsidRPr="00D2240F">
        <w:rPr>
          <w:rFonts w:ascii="Times New Roman" w:hAnsi="Times New Roman" w:cs="Times New Roman"/>
          <w:sz w:val="24"/>
          <w:szCs w:val="24"/>
        </w:rPr>
        <w:t xml:space="preserve">ad 150 mmol/l se vyskytuje </w:t>
      </w:r>
      <w:r w:rsidR="001A2C4B">
        <w:rPr>
          <w:rFonts w:ascii="Times New Roman" w:hAnsi="Times New Roman" w:cs="Times New Roman"/>
          <w:sz w:val="24"/>
          <w:szCs w:val="24"/>
        </w:rPr>
        <w:t>často</w:t>
      </w:r>
      <w:r w:rsidR="00C20695" w:rsidRPr="00D2240F">
        <w:rPr>
          <w:rFonts w:ascii="Times New Roman" w:hAnsi="Times New Roman" w:cs="Times New Roman"/>
          <w:sz w:val="24"/>
          <w:szCs w:val="24"/>
        </w:rPr>
        <w:t xml:space="preserve"> v rámci sekundárního hyperaldosteronismu</w:t>
      </w:r>
      <w:r>
        <w:rPr>
          <w:rFonts w:ascii="Times New Roman" w:hAnsi="Times New Roman" w:cs="Times New Roman"/>
          <w:sz w:val="24"/>
          <w:szCs w:val="24"/>
        </w:rPr>
        <w:t>, obecně při snížené intravaskulární náplni, tedy z důvodu nedostatečné hydratace. U</w:t>
      </w:r>
      <w:r w:rsidR="00C20695" w:rsidRPr="00D2240F">
        <w:rPr>
          <w:rFonts w:ascii="Times New Roman" w:hAnsi="Times New Roman" w:cs="Times New Roman"/>
          <w:sz w:val="24"/>
          <w:szCs w:val="24"/>
        </w:rPr>
        <w:t xml:space="preserve"> pacientů v rámci systémové zánětlivé odpovědi</w:t>
      </w:r>
      <w:r>
        <w:rPr>
          <w:rFonts w:ascii="Times New Roman" w:hAnsi="Times New Roman" w:cs="Times New Roman"/>
          <w:sz w:val="24"/>
          <w:szCs w:val="24"/>
        </w:rPr>
        <w:t xml:space="preserve"> se v</w:t>
      </w:r>
      <w:r w:rsidR="00C20695" w:rsidRPr="00D2240F">
        <w:rPr>
          <w:rFonts w:ascii="Times New Roman" w:hAnsi="Times New Roman" w:cs="Times New Roman"/>
          <w:sz w:val="24"/>
          <w:szCs w:val="24"/>
        </w:rPr>
        <w:t>livem cytokinů  zvyšuje permeabilita, kapilárním leakem uniká zejména albumin do intersticia, osmoticky váže vodu a to má za následek snížení intravaskulárního objemu a aktivace systému renin – angiotensin – aldosteron. Dochází ke zvýšenému vstřebávání natria v distálním tubulu. Ve vyšetření je varující zejména výrazná hyponatriurie (</w:t>
      </w:r>
      <w:r w:rsidR="00C20695" w:rsidRPr="00D2240F">
        <w:rPr>
          <w:rFonts w:ascii="Times New Roman" w:hAnsi="Times New Roman" w:cs="Times New Roman"/>
          <w:sz w:val="24"/>
          <w:szCs w:val="24"/>
          <w:lang w:val="en-US"/>
        </w:rPr>
        <w:t>&lt;</w:t>
      </w:r>
      <w:r w:rsidR="00C20695" w:rsidRPr="00D2240F">
        <w:rPr>
          <w:rFonts w:ascii="Times New Roman" w:hAnsi="Times New Roman" w:cs="Times New Roman"/>
          <w:sz w:val="24"/>
          <w:szCs w:val="24"/>
        </w:rPr>
        <w:t>20 mmol/l). K hypernatremii dochází též při ztrátách prosté vody osmotickou diurézou, zjišťujeme ji i při kontaminaci odběru a současně podávané infuzi antibiotik či chemoterapie.</w:t>
      </w:r>
    </w:p>
    <w:p w:rsidR="00C20695" w:rsidRPr="00D2240F"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sz w:val="24"/>
          <w:szCs w:val="24"/>
        </w:rPr>
        <w:lastRenderedPageBreak/>
        <w:t xml:space="preserve">U malnutričních pacientů se však častěji vyskytuje </w:t>
      </w:r>
      <w:r w:rsidRPr="00D2240F">
        <w:rPr>
          <w:rFonts w:ascii="Times New Roman" w:hAnsi="Times New Roman" w:cs="Times New Roman"/>
          <w:b/>
          <w:sz w:val="24"/>
          <w:szCs w:val="24"/>
        </w:rPr>
        <w:t>hyponatremie</w:t>
      </w:r>
      <w:r w:rsidRPr="00D2240F">
        <w:rPr>
          <w:rFonts w:ascii="Times New Roman" w:hAnsi="Times New Roman" w:cs="Times New Roman"/>
          <w:sz w:val="24"/>
          <w:szCs w:val="24"/>
        </w:rPr>
        <w:t xml:space="preserve"> – pod 130 mmol/l. Většinou jde o výraz úplného energetického vyčerpání organismu. Dochází k poklesu aktivity Na+K+ ATPázy s hromaděním Na+ intracelulárně (ICT) a K+ extracelulárně (ECT) a rozvojem terminální hyponatremie. Hyponatremie je též průvodním jevem při srdečním a jaterním selhání – zvýšený objem ECT, hypervolemická hyponatremie. Zvláštní pozornost si zasluhuje hyponatremie způsobená přesuny vody z ICT do ECT efektivní osmolalitou glukózy při výrazných hyperglykemiích při dekompenzaci diabetu mellitu. Na každé zvýšení glykemie o 5,5 mmol/l klesá natremie o 1,5 mmol/l. Častou příčinou zjištěné hyponatremie je též podání většího množství bezsolutových roztoků.</w:t>
      </w:r>
    </w:p>
    <w:p w:rsidR="00C20695" w:rsidRPr="00D2240F"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b/>
          <w:sz w:val="24"/>
          <w:szCs w:val="24"/>
        </w:rPr>
        <w:t>Chloridy, hyper- a hypochloridemie</w:t>
      </w:r>
      <w:r w:rsidRPr="00D2240F">
        <w:rPr>
          <w:rFonts w:ascii="Times New Roman" w:hAnsi="Times New Roman" w:cs="Times New Roman"/>
          <w:sz w:val="24"/>
          <w:szCs w:val="24"/>
        </w:rPr>
        <w:t>. Koncentraci chloridů hodnotíme vždy současně s koncentrací natria. Jen tak můžeme posoudit, zda se jedná o hypochloridemii či hyperchloridemii, která ovlivní acidobazický nález. Častým nálezem je vyšší koncentrace chloridů, tedy hyperchloremická metabolická acidóza při podávání většího objemu fyziologického roztoku. Vzhledem k jeho složení (154 mmol/l Na a 154 mmol/l Cl) to však není překvapení. O nevhodnosti jeho podání u pacientů v kritickém stavu se vedou v současné době rozsáhlé diskuse. Naopak hypochlorid</w:t>
      </w:r>
      <w:r w:rsidR="0006080A">
        <w:rPr>
          <w:rFonts w:ascii="Times New Roman" w:hAnsi="Times New Roman" w:cs="Times New Roman"/>
          <w:sz w:val="24"/>
          <w:szCs w:val="24"/>
        </w:rPr>
        <w:t>é</w:t>
      </w:r>
      <w:r w:rsidRPr="00D2240F">
        <w:rPr>
          <w:rFonts w:ascii="Times New Roman" w:hAnsi="Times New Roman" w:cs="Times New Roman"/>
          <w:sz w:val="24"/>
          <w:szCs w:val="24"/>
        </w:rPr>
        <w:t>mie se současně neměřitelnou koncentrací chloridů v moči je běžným nálezem u pacientů, kteří opakovaně zvrací</w:t>
      </w:r>
      <w:r w:rsidR="00DB2A87">
        <w:rPr>
          <w:rFonts w:ascii="Times New Roman" w:hAnsi="Times New Roman" w:cs="Times New Roman"/>
          <w:sz w:val="24"/>
          <w:szCs w:val="24"/>
        </w:rPr>
        <w:t>.</w:t>
      </w:r>
    </w:p>
    <w:p w:rsidR="00C20695" w:rsidRPr="00D2240F"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b/>
          <w:sz w:val="24"/>
          <w:szCs w:val="24"/>
        </w:rPr>
        <w:t>Hyperkal</w:t>
      </w:r>
      <w:r w:rsidR="00BB58F2">
        <w:rPr>
          <w:rFonts w:ascii="Times New Roman" w:hAnsi="Times New Roman" w:cs="Times New Roman"/>
          <w:b/>
          <w:sz w:val="24"/>
          <w:szCs w:val="24"/>
        </w:rPr>
        <w:t>é</w:t>
      </w:r>
      <w:r w:rsidRPr="00D2240F">
        <w:rPr>
          <w:rFonts w:ascii="Times New Roman" w:hAnsi="Times New Roman" w:cs="Times New Roman"/>
          <w:b/>
          <w:sz w:val="24"/>
          <w:szCs w:val="24"/>
        </w:rPr>
        <w:t>mie</w:t>
      </w:r>
      <w:r w:rsidRPr="00D2240F">
        <w:rPr>
          <w:rFonts w:ascii="Times New Roman" w:hAnsi="Times New Roman" w:cs="Times New Roman"/>
          <w:sz w:val="24"/>
          <w:szCs w:val="24"/>
        </w:rPr>
        <w:t xml:space="preserve"> – nad 5,5 mmol/l. Hodnocení závisí na pH, zejména u nestabilních pacientů je třeba zohlednit aktuální stav acidobazické rovnováhy, resp</w:t>
      </w:r>
      <w:r w:rsidR="00441A3C">
        <w:rPr>
          <w:rFonts w:ascii="Times New Roman" w:hAnsi="Times New Roman" w:cs="Times New Roman"/>
          <w:sz w:val="24"/>
          <w:szCs w:val="24"/>
        </w:rPr>
        <w:t>e</w:t>
      </w:r>
      <w:r w:rsidR="00DB2A87">
        <w:rPr>
          <w:rFonts w:ascii="Times New Roman" w:hAnsi="Times New Roman" w:cs="Times New Roman"/>
          <w:sz w:val="24"/>
          <w:szCs w:val="24"/>
        </w:rPr>
        <w:t>ktive</w:t>
      </w:r>
      <w:r w:rsidRPr="00D2240F">
        <w:rPr>
          <w:rFonts w:ascii="Times New Roman" w:hAnsi="Times New Roman" w:cs="Times New Roman"/>
          <w:sz w:val="24"/>
          <w:szCs w:val="24"/>
        </w:rPr>
        <w:t xml:space="preserve"> pH. Při poklesu pH o 0,1 dochází k vzestupu K o 0,6 mmol/l. V alkalóze je stav opačný – kalium vstupuje do buněk a koncentrace v krvi se adekvátně snižuje. Nejčastější důvody hyperkalemie jsou renální selhání, rozpad tkání, masivní přívod K v infuzích.</w:t>
      </w:r>
      <w:r w:rsidR="00DB2A87">
        <w:rPr>
          <w:rFonts w:ascii="Times New Roman" w:hAnsi="Times New Roman" w:cs="Times New Roman"/>
          <w:sz w:val="24"/>
          <w:szCs w:val="24"/>
        </w:rPr>
        <w:t xml:space="preserve"> U pacientů před transplantací, kteří jsou imunosuprimováni</w:t>
      </w:r>
      <w:r w:rsidR="0096304B">
        <w:rPr>
          <w:rFonts w:ascii="Times New Roman" w:hAnsi="Times New Roman" w:cs="Times New Roman"/>
          <w:sz w:val="24"/>
          <w:szCs w:val="24"/>
        </w:rPr>
        <w:t>,</w:t>
      </w:r>
      <w:r w:rsidR="00DB2A87">
        <w:rPr>
          <w:rFonts w:ascii="Times New Roman" w:hAnsi="Times New Roman" w:cs="Times New Roman"/>
          <w:sz w:val="24"/>
          <w:szCs w:val="24"/>
        </w:rPr>
        <w:t xml:space="preserve"> je třeba pečlivě monitorovat hladiny kalia pro možnost hyperkalémie z důvodu </w:t>
      </w:r>
      <w:r w:rsidR="0096304B">
        <w:rPr>
          <w:rFonts w:ascii="Times New Roman" w:hAnsi="Times New Roman" w:cs="Times New Roman"/>
          <w:sz w:val="24"/>
          <w:szCs w:val="24"/>
        </w:rPr>
        <w:t>vzniku renální tubulární acidózy při terapii takrolimem.</w:t>
      </w:r>
      <w:r w:rsidR="00DB2A87">
        <w:rPr>
          <w:rFonts w:ascii="Times New Roman" w:hAnsi="Times New Roman" w:cs="Times New Roman"/>
          <w:sz w:val="24"/>
          <w:szCs w:val="24"/>
        </w:rPr>
        <w:t xml:space="preserve"> </w:t>
      </w:r>
    </w:p>
    <w:p w:rsidR="00C20695" w:rsidRPr="00D2240F"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b/>
          <w:sz w:val="24"/>
          <w:szCs w:val="24"/>
        </w:rPr>
        <w:t>Hypokal</w:t>
      </w:r>
      <w:r w:rsidR="00BB58F2">
        <w:rPr>
          <w:rFonts w:ascii="Times New Roman" w:hAnsi="Times New Roman" w:cs="Times New Roman"/>
          <w:b/>
          <w:sz w:val="24"/>
          <w:szCs w:val="24"/>
        </w:rPr>
        <w:t>é</w:t>
      </w:r>
      <w:r w:rsidRPr="00D2240F">
        <w:rPr>
          <w:rFonts w:ascii="Times New Roman" w:hAnsi="Times New Roman" w:cs="Times New Roman"/>
          <w:b/>
          <w:sz w:val="24"/>
          <w:szCs w:val="24"/>
        </w:rPr>
        <w:t xml:space="preserve">mie </w:t>
      </w:r>
      <w:r w:rsidRPr="00D2240F">
        <w:rPr>
          <w:rFonts w:ascii="Times New Roman" w:hAnsi="Times New Roman" w:cs="Times New Roman"/>
          <w:sz w:val="24"/>
          <w:szCs w:val="24"/>
        </w:rPr>
        <w:t>pod 3,5 mmol/l bývá spojena se zvracením, průjmy, vzniká</w:t>
      </w:r>
      <w:r w:rsidR="0096304B">
        <w:rPr>
          <w:rFonts w:ascii="Times New Roman" w:hAnsi="Times New Roman" w:cs="Times New Roman"/>
          <w:sz w:val="24"/>
          <w:szCs w:val="24"/>
        </w:rPr>
        <w:t xml:space="preserve"> též</w:t>
      </w:r>
      <w:r w:rsidRPr="00D2240F">
        <w:rPr>
          <w:rFonts w:ascii="Times New Roman" w:hAnsi="Times New Roman" w:cs="Times New Roman"/>
          <w:sz w:val="24"/>
          <w:szCs w:val="24"/>
        </w:rPr>
        <w:t xml:space="preserve"> při podávání kalium nešetřících diuretik (Furosemid). Relativně běžným nálezem je těžko terapií ovlivnitelná hypokalemie u pacientů na chemoterapii, současně léčených antimykotiky. Zde dochází vlivem poškození renálních tubulů k ztrátám Mg i K,</w:t>
      </w:r>
      <w:r w:rsidR="0096304B">
        <w:rPr>
          <w:rFonts w:ascii="Times New Roman" w:hAnsi="Times New Roman" w:cs="Times New Roman"/>
          <w:sz w:val="24"/>
          <w:szCs w:val="24"/>
        </w:rPr>
        <w:t xml:space="preserve"> snížení aktivity Na/K ATP áza závislé na Mg,</w:t>
      </w:r>
      <w:r w:rsidRPr="00D2240F">
        <w:rPr>
          <w:rFonts w:ascii="Times New Roman" w:hAnsi="Times New Roman" w:cs="Times New Roman"/>
          <w:sz w:val="24"/>
          <w:szCs w:val="24"/>
        </w:rPr>
        <w:t xml:space="preserve"> což má za následek</w:t>
      </w:r>
      <w:r w:rsidR="0096304B">
        <w:rPr>
          <w:rFonts w:ascii="Times New Roman" w:hAnsi="Times New Roman" w:cs="Times New Roman"/>
          <w:sz w:val="24"/>
          <w:szCs w:val="24"/>
        </w:rPr>
        <w:t xml:space="preserve"> vyčerpání jejich zásob a</w:t>
      </w:r>
      <w:r w:rsidRPr="00D2240F">
        <w:rPr>
          <w:rFonts w:ascii="Times New Roman" w:hAnsi="Times New Roman" w:cs="Times New Roman"/>
          <w:sz w:val="24"/>
          <w:szCs w:val="24"/>
        </w:rPr>
        <w:t xml:space="preserve"> významné poklesy obou iontů v</w:t>
      </w:r>
      <w:r w:rsidR="0096304B">
        <w:rPr>
          <w:rFonts w:ascii="Times New Roman" w:hAnsi="Times New Roman" w:cs="Times New Roman"/>
          <w:sz w:val="24"/>
          <w:szCs w:val="24"/>
        </w:rPr>
        <w:t> </w:t>
      </w:r>
      <w:r w:rsidRPr="00D2240F">
        <w:rPr>
          <w:rFonts w:ascii="Times New Roman" w:hAnsi="Times New Roman" w:cs="Times New Roman"/>
          <w:sz w:val="24"/>
          <w:szCs w:val="24"/>
        </w:rPr>
        <w:t>krvi</w:t>
      </w:r>
      <w:r w:rsidR="0096304B">
        <w:rPr>
          <w:rFonts w:ascii="Times New Roman" w:hAnsi="Times New Roman" w:cs="Times New Roman"/>
          <w:sz w:val="24"/>
          <w:szCs w:val="24"/>
        </w:rPr>
        <w:t xml:space="preserve"> i v moči</w:t>
      </w:r>
      <w:r w:rsidRPr="00D2240F">
        <w:rPr>
          <w:rFonts w:ascii="Times New Roman" w:hAnsi="Times New Roman" w:cs="Times New Roman"/>
          <w:sz w:val="24"/>
          <w:szCs w:val="24"/>
        </w:rPr>
        <w:t>.</w:t>
      </w:r>
      <w:r w:rsidR="0096304B">
        <w:rPr>
          <w:rFonts w:ascii="Times New Roman" w:hAnsi="Times New Roman" w:cs="Times New Roman"/>
          <w:sz w:val="24"/>
          <w:szCs w:val="24"/>
        </w:rPr>
        <w:t xml:space="preserve"> Substituci obou iontů provádíme vždy současně. </w:t>
      </w:r>
      <w:r w:rsidRPr="00D2240F">
        <w:rPr>
          <w:rFonts w:ascii="Times New Roman" w:hAnsi="Times New Roman" w:cs="Times New Roman"/>
          <w:sz w:val="24"/>
          <w:szCs w:val="24"/>
        </w:rPr>
        <w:t>Při pozitivním obratu ve výživě pacienta k anabolismu je třeba dát pozor na náhle vzniklou hypokalemii. Kalium v rámci anabolických dějů putuje do buňky</w:t>
      </w:r>
      <w:r w:rsidR="0096304B">
        <w:rPr>
          <w:rFonts w:ascii="Times New Roman" w:hAnsi="Times New Roman" w:cs="Times New Roman"/>
          <w:sz w:val="24"/>
          <w:szCs w:val="24"/>
        </w:rPr>
        <w:t xml:space="preserve"> a v jeho hodnoty v séru mohou dramaticky </w:t>
      </w:r>
      <w:r w:rsidR="0096304B">
        <w:rPr>
          <w:rFonts w:ascii="Times New Roman" w:hAnsi="Times New Roman" w:cs="Times New Roman"/>
          <w:sz w:val="24"/>
          <w:szCs w:val="24"/>
        </w:rPr>
        <w:lastRenderedPageBreak/>
        <w:t>poklesnout.</w:t>
      </w:r>
      <w:r w:rsidRPr="00D2240F">
        <w:rPr>
          <w:rFonts w:ascii="Times New Roman" w:hAnsi="Times New Roman" w:cs="Times New Roman"/>
          <w:sz w:val="24"/>
          <w:szCs w:val="24"/>
        </w:rPr>
        <w:t xml:space="preserve"> S hypokalemii též počítejme u nedostatečného přívodu</w:t>
      </w:r>
      <w:r w:rsidR="00441A3C">
        <w:rPr>
          <w:rFonts w:ascii="Times New Roman" w:hAnsi="Times New Roman" w:cs="Times New Roman"/>
          <w:sz w:val="24"/>
          <w:szCs w:val="24"/>
        </w:rPr>
        <w:t xml:space="preserve"> K, Mg, P a thiaminu </w:t>
      </w:r>
      <w:r w:rsidRPr="00D2240F">
        <w:rPr>
          <w:rFonts w:ascii="Times New Roman" w:hAnsi="Times New Roman" w:cs="Times New Roman"/>
          <w:sz w:val="24"/>
          <w:szCs w:val="24"/>
        </w:rPr>
        <w:t>při</w:t>
      </w:r>
      <w:r w:rsidR="00441A3C">
        <w:rPr>
          <w:rFonts w:ascii="Times New Roman" w:hAnsi="Times New Roman" w:cs="Times New Roman"/>
          <w:sz w:val="24"/>
          <w:szCs w:val="24"/>
        </w:rPr>
        <w:t xml:space="preserve"> rychlé realimentaci u chronicky malnutričních jako výraz refeeding syndromu, ale také při</w:t>
      </w:r>
      <w:r w:rsidRPr="00D2240F">
        <w:rPr>
          <w:rFonts w:ascii="Times New Roman" w:hAnsi="Times New Roman" w:cs="Times New Roman"/>
          <w:sz w:val="24"/>
          <w:szCs w:val="24"/>
        </w:rPr>
        <w:t xml:space="preserve"> nevyvážené parenterální výživě a při terapii kortikoidy.</w:t>
      </w:r>
    </w:p>
    <w:p w:rsidR="00C20695" w:rsidRPr="00D2240F"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b/>
          <w:sz w:val="24"/>
          <w:szCs w:val="24"/>
        </w:rPr>
        <w:t>Magn</w:t>
      </w:r>
      <w:r w:rsidR="00441A3C">
        <w:rPr>
          <w:rFonts w:ascii="Times New Roman" w:hAnsi="Times New Roman" w:cs="Times New Roman"/>
          <w:b/>
          <w:sz w:val="24"/>
          <w:szCs w:val="24"/>
        </w:rPr>
        <w:t>é</w:t>
      </w:r>
      <w:r w:rsidRPr="00D2240F">
        <w:rPr>
          <w:rFonts w:ascii="Times New Roman" w:hAnsi="Times New Roman" w:cs="Times New Roman"/>
          <w:b/>
          <w:sz w:val="24"/>
          <w:szCs w:val="24"/>
        </w:rPr>
        <w:t xml:space="preserve">zium. </w:t>
      </w:r>
      <w:r w:rsidRPr="00D2240F">
        <w:rPr>
          <w:rFonts w:ascii="Times New Roman" w:hAnsi="Times New Roman" w:cs="Times New Roman"/>
          <w:sz w:val="24"/>
          <w:szCs w:val="24"/>
        </w:rPr>
        <w:t xml:space="preserve">S hypermagnezemií se téměř nesetkáváme, o to častější je výskyt hypomagnezemie. </w:t>
      </w:r>
      <w:r w:rsidR="00441A3C">
        <w:rPr>
          <w:rFonts w:ascii="Times New Roman" w:hAnsi="Times New Roman" w:cs="Times New Roman"/>
          <w:sz w:val="24"/>
          <w:szCs w:val="24"/>
        </w:rPr>
        <w:t>50%</w:t>
      </w:r>
      <w:r w:rsidRPr="00D2240F">
        <w:rPr>
          <w:rFonts w:ascii="Times New Roman" w:hAnsi="Times New Roman" w:cs="Times New Roman"/>
          <w:sz w:val="24"/>
          <w:szCs w:val="24"/>
        </w:rPr>
        <w:t xml:space="preserve"> Mg se absorbuje v tenkém střevě, vylučuje se ledvinami podle plasmatické hladiny a glomerulární filtrace. Má zásadní význam pro intermediární metabolismus. Na Mg je závislá Na/K+ ATPáza. Při hypomagnezemii je ztížený transport K do buněk, vázne utilizace aminokyselin. Mg se podílí na metabolismu Ca, deplece Mg vede ke zhoršení sekrece a působení PTH. Příčiny</w:t>
      </w:r>
      <w:r w:rsidR="00441A3C">
        <w:rPr>
          <w:rFonts w:ascii="Times New Roman" w:hAnsi="Times New Roman" w:cs="Times New Roman"/>
          <w:sz w:val="24"/>
          <w:szCs w:val="24"/>
        </w:rPr>
        <w:t xml:space="preserve"> jsou</w:t>
      </w:r>
      <w:r w:rsidRPr="00D2240F">
        <w:rPr>
          <w:rFonts w:ascii="Times New Roman" w:hAnsi="Times New Roman" w:cs="Times New Roman"/>
          <w:sz w:val="24"/>
          <w:szCs w:val="24"/>
        </w:rPr>
        <w:t xml:space="preserve"> malnutrice, refeeding syndrom, malabsorbce, GIT ztráty, kličková diuretika. Hypomagnezemie před zahájením nutrice je signifikantně spojena s rozvojem refeeding syndromu – viz dále.</w:t>
      </w:r>
    </w:p>
    <w:p w:rsidR="00C20695" w:rsidRDefault="00C20695" w:rsidP="00D2240F">
      <w:pPr>
        <w:spacing w:line="360" w:lineRule="auto"/>
        <w:rPr>
          <w:rFonts w:ascii="Times New Roman" w:hAnsi="Times New Roman" w:cs="Times New Roman"/>
          <w:sz w:val="24"/>
          <w:szCs w:val="24"/>
        </w:rPr>
      </w:pPr>
      <w:r w:rsidRPr="00D2240F">
        <w:rPr>
          <w:rFonts w:ascii="Times New Roman" w:hAnsi="Times New Roman" w:cs="Times New Roman"/>
          <w:b/>
          <w:sz w:val="24"/>
          <w:szCs w:val="24"/>
        </w:rPr>
        <w:t>Fosfát PO4-</w:t>
      </w:r>
      <w:r w:rsidRPr="00D2240F">
        <w:rPr>
          <w:rFonts w:ascii="Times New Roman" w:hAnsi="Times New Roman" w:cs="Times New Roman"/>
          <w:sz w:val="24"/>
          <w:szCs w:val="24"/>
        </w:rPr>
        <w:t xml:space="preserve"> má zásadní význam pro energetiku buněk a klíčovou roli v metabolizaci energetických substrátů. Minimální příjem je 30 mmol/den. Snížení P působí pokles difosfoglycerátu, posun disociační křivky doleva, ztížené uvolňování O</w:t>
      </w:r>
      <w:r w:rsidRPr="00D2240F">
        <w:rPr>
          <w:rFonts w:ascii="Times New Roman" w:hAnsi="Times New Roman" w:cs="Times New Roman"/>
          <w:sz w:val="24"/>
          <w:szCs w:val="24"/>
          <w:vertAlign w:val="subscript"/>
        </w:rPr>
        <w:t>2</w:t>
      </w:r>
      <w:r w:rsidRPr="00D2240F">
        <w:rPr>
          <w:rFonts w:ascii="Times New Roman" w:hAnsi="Times New Roman" w:cs="Times New Roman"/>
          <w:sz w:val="24"/>
          <w:szCs w:val="24"/>
        </w:rPr>
        <w:t>. Výrazný pokles nacházíme u refeeding syndromu, kde jsou nutné vyšší dávky. Při nedostatku makroergních fosfátů hrozí až srdeční a respirační selhání. Hyperfosfatemie nad 1,9 mmol/l je častá u chronické renální insuficience, též může upozornit na zvýšený buněčný rozpad.</w:t>
      </w:r>
    </w:p>
    <w:p w:rsidR="00BB58F2" w:rsidRPr="00D2240F" w:rsidRDefault="00BB58F2" w:rsidP="00BB58F2">
      <w:pPr>
        <w:spacing w:line="360" w:lineRule="auto"/>
        <w:rPr>
          <w:rFonts w:ascii="Times New Roman" w:hAnsi="Times New Roman" w:cs="Times New Roman"/>
          <w:bCs/>
          <w:sz w:val="24"/>
          <w:szCs w:val="24"/>
        </w:rPr>
      </w:pPr>
      <w:r w:rsidRPr="00D2240F">
        <w:rPr>
          <w:rFonts w:ascii="Times New Roman" w:hAnsi="Times New Roman" w:cs="Times New Roman"/>
          <w:b/>
          <w:bCs/>
          <w:sz w:val="24"/>
          <w:szCs w:val="24"/>
        </w:rPr>
        <w:t>Refeeding syndrom</w:t>
      </w:r>
      <w:r w:rsidRPr="00D2240F">
        <w:rPr>
          <w:rFonts w:ascii="Times New Roman" w:hAnsi="Times New Roman" w:cs="Times New Roman"/>
          <w:bCs/>
          <w:sz w:val="24"/>
          <w:szCs w:val="24"/>
        </w:rPr>
        <w:t xml:space="preserve"> </w:t>
      </w:r>
      <w:r w:rsidRPr="00D2240F">
        <w:rPr>
          <w:rFonts w:ascii="Times New Roman" w:hAnsi="Times New Roman" w:cs="Times New Roman"/>
          <w:b/>
          <w:bCs/>
          <w:sz w:val="24"/>
          <w:szCs w:val="24"/>
        </w:rPr>
        <w:t>(RF)</w:t>
      </w:r>
    </w:p>
    <w:p w:rsidR="00BB58F2" w:rsidRPr="00D2240F" w:rsidRDefault="00BB58F2" w:rsidP="00BB58F2">
      <w:pPr>
        <w:spacing w:line="360" w:lineRule="auto"/>
        <w:rPr>
          <w:rFonts w:ascii="Times New Roman" w:hAnsi="Times New Roman" w:cs="Times New Roman"/>
          <w:bCs/>
          <w:sz w:val="24"/>
          <w:szCs w:val="24"/>
        </w:rPr>
      </w:pPr>
      <w:r w:rsidRPr="00D2240F">
        <w:rPr>
          <w:rFonts w:ascii="Times New Roman" w:hAnsi="Times New Roman" w:cs="Times New Roman"/>
          <w:bCs/>
          <w:sz w:val="24"/>
          <w:szCs w:val="24"/>
        </w:rPr>
        <w:t xml:space="preserve">Incidence tohoto syndromu je asi 14% u </w:t>
      </w:r>
      <w:r w:rsidRPr="00BB58F2">
        <w:rPr>
          <w:rFonts w:ascii="Times New Roman" w:hAnsi="Times New Roman" w:cs="Times New Roman"/>
          <w:bCs/>
          <w:sz w:val="24"/>
          <w:szCs w:val="24"/>
        </w:rPr>
        <w:t>pacientů s parenterální výživou,</w:t>
      </w:r>
      <w:r w:rsidRPr="00D2240F">
        <w:rPr>
          <w:rFonts w:ascii="Times New Roman" w:hAnsi="Times New Roman" w:cs="Times New Roman"/>
          <w:bCs/>
          <w:sz w:val="24"/>
          <w:szCs w:val="24"/>
        </w:rPr>
        <w:t xml:space="preserve"> 5–25 % u onkologických pacientů (jde o odhad, reálná čísla budou vyšší).</w:t>
      </w:r>
    </w:p>
    <w:p w:rsidR="00BB58F2" w:rsidRPr="00D2240F" w:rsidRDefault="00BB58F2" w:rsidP="00BB58F2">
      <w:pPr>
        <w:spacing w:line="360" w:lineRule="auto"/>
        <w:rPr>
          <w:rFonts w:ascii="Times New Roman" w:hAnsi="Times New Roman" w:cs="Times New Roman"/>
          <w:bCs/>
          <w:sz w:val="24"/>
          <w:szCs w:val="24"/>
        </w:rPr>
      </w:pPr>
      <w:r w:rsidRPr="00D2240F">
        <w:rPr>
          <w:rFonts w:ascii="Times New Roman" w:hAnsi="Times New Roman" w:cs="Times New Roman"/>
          <w:bCs/>
          <w:sz w:val="24"/>
          <w:szCs w:val="24"/>
        </w:rPr>
        <w:t>Patofyziologie syndromu: adaptace na malnutrici – nízká spotřeba inzulinu, převažuje glykogenolýza, lipolýza, glukoneogeneza (ketolátky, volné mastné kyseliny, aminokyseliny), při realimentaci (hyperglykemie) stoupá inzulin – zvyšuje se metabolický obrat, je vystupňovaná glykolýza a základní mikronutrienty chybí (K, Mg, P, thiamin!). Inzulin aktivuje Na/K+ ATPázu, následuje dramatický shift K, P</w:t>
      </w:r>
      <w:r>
        <w:rPr>
          <w:rFonts w:ascii="Times New Roman" w:hAnsi="Times New Roman" w:cs="Times New Roman"/>
          <w:bCs/>
          <w:sz w:val="24"/>
          <w:szCs w:val="24"/>
        </w:rPr>
        <w:t>O4</w:t>
      </w:r>
      <w:r w:rsidRPr="00D2240F">
        <w:rPr>
          <w:rFonts w:ascii="Times New Roman" w:hAnsi="Times New Roman" w:cs="Times New Roman"/>
          <w:bCs/>
          <w:sz w:val="24"/>
          <w:szCs w:val="24"/>
        </w:rPr>
        <w:t xml:space="preserve"> a Mg do buněk. Dochází k oblenění až blokaci intermediárního metabolismu, výsledkem je laktátová acidóza a extrémní snížení K, Mg, P</w:t>
      </w:r>
      <w:r>
        <w:rPr>
          <w:rFonts w:ascii="Times New Roman" w:hAnsi="Times New Roman" w:cs="Times New Roman"/>
          <w:bCs/>
          <w:sz w:val="24"/>
          <w:szCs w:val="24"/>
        </w:rPr>
        <w:t>O4</w:t>
      </w:r>
      <w:r w:rsidRPr="00D2240F">
        <w:rPr>
          <w:rFonts w:ascii="Times New Roman" w:hAnsi="Times New Roman" w:cs="Times New Roman"/>
          <w:bCs/>
          <w:sz w:val="24"/>
          <w:szCs w:val="24"/>
        </w:rPr>
        <w:t>, hyperglykemie se neuvádí tak často. Inzulin potencuje antinatriuretický efekt a vznikají otoky.</w:t>
      </w:r>
    </w:p>
    <w:p w:rsidR="00BB58F2" w:rsidRPr="00D2240F" w:rsidRDefault="00BB58F2" w:rsidP="00BB58F2">
      <w:pPr>
        <w:spacing w:line="360" w:lineRule="auto"/>
        <w:rPr>
          <w:rFonts w:ascii="Times New Roman" w:hAnsi="Times New Roman" w:cs="Times New Roman"/>
          <w:bCs/>
          <w:sz w:val="24"/>
          <w:szCs w:val="24"/>
        </w:rPr>
      </w:pPr>
      <w:r w:rsidRPr="00D2240F">
        <w:rPr>
          <w:rFonts w:ascii="Times New Roman" w:hAnsi="Times New Roman" w:cs="Times New Roman"/>
          <w:bCs/>
          <w:sz w:val="24"/>
          <w:szCs w:val="24"/>
        </w:rPr>
        <w:t>Definice: K</w:t>
      </w:r>
      <w:r w:rsidRPr="00D2240F">
        <w:rPr>
          <w:rFonts w:ascii="Times New Roman" w:hAnsi="Times New Roman" w:cs="Times New Roman"/>
          <w:bCs/>
          <w:sz w:val="24"/>
          <w:szCs w:val="24"/>
          <w:lang w:val="en-US"/>
        </w:rPr>
        <w:t>&lt;</w:t>
      </w:r>
      <w:r w:rsidRPr="00D2240F">
        <w:rPr>
          <w:rFonts w:ascii="Times New Roman" w:hAnsi="Times New Roman" w:cs="Times New Roman"/>
          <w:bCs/>
          <w:sz w:val="24"/>
          <w:szCs w:val="24"/>
        </w:rPr>
        <w:t xml:space="preserve"> 2,5 mmol/l, Mg</w:t>
      </w:r>
      <w:r w:rsidRPr="00D2240F">
        <w:rPr>
          <w:rFonts w:ascii="Times New Roman" w:hAnsi="Times New Roman" w:cs="Times New Roman"/>
          <w:bCs/>
          <w:sz w:val="24"/>
          <w:szCs w:val="24"/>
          <w:lang w:val="en-US"/>
        </w:rPr>
        <w:t xml:space="preserve"> &lt;</w:t>
      </w:r>
      <w:r w:rsidRPr="00D2240F">
        <w:rPr>
          <w:rFonts w:ascii="Times New Roman" w:hAnsi="Times New Roman" w:cs="Times New Roman"/>
          <w:bCs/>
          <w:sz w:val="24"/>
          <w:szCs w:val="24"/>
        </w:rPr>
        <w:t>0,5 mmol/l, P</w:t>
      </w:r>
      <w:r w:rsidRPr="00D2240F">
        <w:rPr>
          <w:rFonts w:ascii="Times New Roman" w:hAnsi="Times New Roman" w:cs="Times New Roman"/>
          <w:bCs/>
          <w:sz w:val="24"/>
          <w:szCs w:val="24"/>
          <w:lang w:val="en-US"/>
        </w:rPr>
        <w:t xml:space="preserve"> &lt;</w:t>
      </w:r>
      <w:r w:rsidRPr="00D2240F">
        <w:rPr>
          <w:rFonts w:ascii="Times New Roman" w:hAnsi="Times New Roman" w:cs="Times New Roman"/>
          <w:bCs/>
          <w:sz w:val="24"/>
          <w:szCs w:val="24"/>
        </w:rPr>
        <w:t>0,5 mmol/l + přetížení ECT otoky+ orgánová dysfunkce. Prevence RS: před zahájením realimentace, pečlivé posouzení K, Mg, P</w:t>
      </w:r>
      <w:r>
        <w:rPr>
          <w:rFonts w:ascii="Times New Roman" w:hAnsi="Times New Roman" w:cs="Times New Roman"/>
          <w:bCs/>
          <w:sz w:val="24"/>
          <w:szCs w:val="24"/>
        </w:rPr>
        <w:t>O4</w:t>
      </w:r>
      <w:r w:rsidRPr="00D2240F">
        <w:rPr>
          <w:rFonts w:ascii="Times New Roman" w:hAnsi="Times New Roman" w:cs="Times New Roman"/>
          <w:bCs/>
          <w:sz w:val="24"/>
          <w:szCs w:val="24"/>
        </w:rPr>
        <w:t xml:space="preserve">, </w:t>
      </w:r>
      <w:r>
        <w:rPr>
          <w:rFonts w:ascii="Times New Roman" w:hAnsi="Times New Roman" w:cs="Times New Roman"/>
          <w:bCs/>
          <w:sz w:val="24"/>
          <w:szCs w:val="24"/>
        </w:rPr>
        <w:t xml:space="preserve">adekvátní substituce a </w:t>
      </w:r>
      <w:r w:rsidRPr="00D2240F">
        <w:rPr>
          <w:rFonts w:ascii="Times New Roman" w:hAnsi="Times New Roman" w:cs="Times New Roman"/>
          <w:bCs/>
          <w:sz w:val="24"/>
          <w:szCs w:val="24"/>
        </w:rPr>
        <w:t xml:space="preserve">podání 100–300 mg thiaminu denně první 3 dny. </w:t>
      </w:r>
    </w:p>
    <w:p w:rsidR="00BB58F2" w:rsidRPr="00D2240F" w:rsidRDefault="00BB58F2" w:rsidP="00D2240F">
      <w:pPr>
        <w:spacing w:line="360" w:lineRule="auto"/>
        <w:rPr>
          <w:rFonts w:ascii="Times New Roman" w:hAnsi="Times New Roman" w:cs="Times New Roman"/>
          <w:sz w:val="24"/>
          <w:szCs w:val="24"/>
        </w:rPr>
      </w:pPr>
    </w:p>
    <w:p w:rsidR="00C20695" w:rsidRPr="00D2240F" w:rsidRDefault="00C20695" w:rsidP="00D2240F">
      <w:pPr>
        <w:spacing w:line="360" w:lineRule="auto"/>
        <w:rPr>
          <w:rFonts w:ascii="Times New Roman" w:hAnsi="Times New Roman" w:cs="Times New Roman"/>
          <w:bCs/>
          <w:sz w:val="24"/>
          <w:szCs w:val="24"/>
        </w:rPr>
      </w:pPr>
      <w:r w:rsidRPr="00D2240F">
        <w:rPr>
          <w:rFonts w:ascii="Times New Roman" w:hAnsi="Times New Roman" w:cs="Times New Roman"/>
          <w:b/>
          <w:sz w:val="24"/>
          <w:szCs w:val="24"/>
        </w:rPr>
        <w:t>Kalcium.</w:t>
      </w:r>
      <w:r w:rsidRPr="00D2240F">
        <w:rPr>
          <w:rFonts w:ascii="Times New Roman" w:hAnsi="Times New Roman" w:cs="Times New Roman"/>
          <w:sz w:val="24"/>
          <w:szCs w:val="24"/>
        </w:rPr>
        <w:t xml:space="preserve"> Pro přesnější informaci o biologické dosažitelnosti vyšetřujeme ionizované Ca. Jeho podíl z celkového Ca je 48 %, je to jediná biologicky aktivní forma (kontraktilia, hemokoagulace). Hypoalbuminemie –10 g způsobí pokles Ca+ o 0,2 mmol/l, vzestup pH +0,1 pokles o 0,03 mmol/l, dochází k přesunu a část Ca+ se váže na bílkovinu. Nízkou hladinu nacházíme u osteoporózy, osteomalacie, zánětlivého onemocnění střev, syndromu krátkého střeva, malabsorbce Ca. Steatorea působí poruchu působení vit. D a jeho přeměnu na aktivní formu. Nutné je provést d</w:t>
      </w:r>
      <w:r w:rsidRPr="00D2240F">
        <w:rPr>
          <w:rFonts w:ascii="Times New Roman" w:hAnsi="Times New Roman" w:cs="Times New Roman"/>
          <w:bCs/>
          <w:sz w:val="24"/>
          <w:szCs w:val="24"/>
        </w:rPr>
        <w:t>enzitometrii!</w:t>
      </w:r>
    </w:p>
    <w:p w:rsidR="00C20695" w:rsidRPr="00D2240F" w:rsidRDefault="00C20695" w:rsidP="00D2240F">
      <w:pPr>
        <w:spacing w:line="360" w:lineRule="auto"/>
        <w:rPr>
          <w:rFonts w:ascii="Times New Roman" w:hAnsi="Times New Roman" w:cs="Times New Roman"/>
          <w:b/>
          <w:bCs/>
          <w:sz w:val="24"/>
          <w:szCs w:val="24"/>
        </w:rPr>
      </w:pPr>
    </w:p>
    <w:p w:rsidR="00C20695" w:rsidRPr="00D2240F" w:rsidRDefault="00C20695" w:rsidP="00D2240F">
      <w:pPr>
        <w:spacing w:line="360" w:lineRule="auto"/>
        <w:rPr>
          <w:rFonts w:ascii="Times New Roman" w:hAnsi="Times New Roman" w:cs="Times New Roman"/>
          <w:b/>
          <w:bCs/>
          <w:sz w:val="24"/>
          <w:szCs w:val="24"/>
        </w:rPr>
      </w:pPr>
    </w:p>
    <w:p w:rsidR="00C20695" w:rsidRPr="00D2240F" w:rsidRDefault="00C20695" w:rsidP="00D2240F">
      <w:pPr>
        <w:spacing w:line="360" w:lineRule="auto"/>
        <w:rPr>
          <w:rFonts w:ascii="Times New Roman" w:hAnsi="Times New Roman" w:cs="Times New Roman"/>
          <w:bCs/>
          <w:sz w:val="24"/>
          <w:szCs w:val="24"/>
        </w:rPr>
      </w:pPr>
      <w:r w:rsidRPr="00D2240F">
        <w:rPr>
          <w:rFonts w:ascii="Times New Roman" w:hAnsi="Times New Roman" w:cs="Times New Roman"/>
          <w:b/>
          <w:bCs/>
          <w:sz w:val="24"/>
          <w:szCs w:val="24"/>
        </w:rPr>
        <w:t xml:space="preserve">Na, K, Cl, Ca, P, Mg </w:t>
      </w:r>
      <w:r w:rsidRPr="00D2240F">
        <w:rPr>
          <w:rFonts w:ascii="Times New Roman" w:hAnsi="Times New Roman" w:cs="Times New Roman"/>
          <w:bCs/>
          <w:sz w:val="24"/>
          <w:szCs w:val="24"/>
        </w:rPr>
        <w:t>vyšetření v moči poskytuje důležité informace o zásobách v organismu, aktivaci aldosteronu, renální funkci, dále umožní bilanční sledování, výpočty trakční exkrece, clearence Na, K.</w:t>
      </w:r>
    </w:p>
    <w:p w:rsidR="007E3EE4" w:rsidRDefault="00C20695" w:rsidP="007E3EE4">
      <w:pPr>
        <w:spacing w:line="360" w:lineRule="auto"/>
        <w:rPr>
          <w:rFonts w:ascii="Times New Roman" w:hAnsi="Times New Roman" w:cs="Times New Roman"/>
          <w:bCs/>
          <w:sz w:val="24"/>
          <w:szCs w:val="24"/>
        </w:rPr>
      </w:pPr>
      <w:r w:rsidRPr="008C0242">
        <w:rPr>
          <w:rFonts w:ascii="Times New Roman" w:hAnsi="Times New Roman" w:cs="Times New Roman"/>
          <w:b/>
          <w:bCs/>
          <w:sz w:val="24"/>
          <w:szCs w:val="24"/>
        </w:rPr>
        <w:t>Stopové prvky, vitamíny</w:t>
      </w:r>
      <w:r w:rsidRPr="008C0242">
        <w:rPr>
          <w:rFonts w:ascii="Times New Roman" w:hAnsi="Times New Roman" w:cs="Times New Roman"/>
          <w:bCs/>
          <w:sz w:val="24"/>
          <w:szCs w:val="24"/>
        </w:rPr>
        <w:t xml:space="preserve">. </w:t>
      </w:r>
      <w:r w:rsidR="008C0242">
        <w:rPr>
          <w:rFonts w:ascii="Times New Roman" w:hAnsi="Times New Roman" w:cs="Times New Roman"/>
          <w:bCs/>
          <w:sz w:val="24"/>
          <w:szCs w:val="24"/>
        </w:rPr>
        <w:t>Standartní m</w:t>
      </w:r>
      <w:r w:rsidRPr="008C0242">
        <w:rPr>
          <w:rFonts w:ascii="Times New Roman" w:hAnsi="Times New Roman" w:cs="Times New Roman"/>
          <w:bCs/>
          <w:sz w:val="24"/>
          <w:szCs w:val="24"/>
        </w:rPr>
        <w:t>onitorace</w:t>
      </w:r>
      <w:r w:rsidR="008C0242">
        <w:rPr>
          <w:rFonts w:ascii="Times New Roman" w:hAnsi="Times New Roman" w:cs="Times New Roman"/>
          <w:bCs/>
          <w:sz w:val="24"/>
          <w:szCs w:val="24"/>
        </w:rPr>
        <w:t xml:space="preserve"> není v našich podmínkách úplně běžná,</w:t>
      </w:r>
      <w:r w:rsidRPr="008C0242">
        <w:rPr>
          <w:rFonts w:ascii="Times New Roman" w:hAnsi="Times New Roman" w:cs="Times New Roman"/>
          <w:bCs/>
          <w:sz w:val="24"/>
          <w:szCs w:val="24"/>
        </w:rPr>
        <w:t xml:space="preserve"> jen při suspekci na hrubý deficit</w:t>
      </w:r>
      <w:r w:rsidR="008C0242">
        <w:rPr>
          <w:rFonts w:ascii="Times New Roman" w:hAnsi="Times New Roman" w:cs="Times New Roman"/>
          <w:bCs/>
          <w:sz w:val="24"/>
          <w:szCs w:val="24"/>
        </w:rPr>
        <w:t xml:space="preserve"> jsou vyšetřovány dostupné mikronutrienty</w:t>
      </w:r>
      <w:r w:rsidRPr="008C0242">
        <w:rPr>
          <w:rFonts w:ascii="Times New Roman" w:hAnsi="Times New Roman" w:cs="Times New Roman"/>
          <w:bCs/>
          <w:sz w:val="24"/>
          <w:szCs w:val="24"/>
        </w:rPr>
        <w:t xml:space="preserve"> (Se, Zn, Fe, </w:t>
      </w:r>
      <w:r w:rsidR="008C0242">
        <w:rPr>
          <w:rFonts w:ascii="Times New Roman" w:hAnsi="Times New Roman" w:cs="Times New Roman"/>
          <w:bCs/>
          <w:sz w:val="24"/>
          <w:szCs w:val="24"/>
        </w:rPr>
        <w:t xml:space="preserve">vitamíny A, C, </w:t>
      </w:r>
      <w:r w:rsidRPr="008C0242">
        <w:rPr>
          <w:rFonts w:ascii="Times New Roman" w:hAnsi="Times New Roman" w:cs="Times New Roman"/>
          <w:bCs/>
          <w:sz w:val="24"/>
          <w:szCs w:val="24"/>
        </w:rPr>
        <w:t>B</w:t>
      </w:r>
      <w:r w:rsidRPr="008C0242">
        <w:rPr>
          <w:rFonts w:ascii="Times New Roman" w:hAnsi="Times New Roman" w:cs="Times New Roman"/>
          <w:bCs/>
          <w:sz w:val="24"/>
          <w:szCs w:val="24"/>
          <w:vertAlign w:val="subscript"/>
        </w:rPr>
        <w:t>1</w:t>
      </w:r>
      <w:r w:rsidRPr="008C0242">
        <w:rPr>
          <w:rFonts w:ascii="Times New Roman" w:hAnsi="Times New Roman" w:cs="Times New Roman"/>
          <w:bCs/>
          <w:sz w:val="24"/>
          <w:szCs w:val="24"/>
        </w:rPr>
        <w:t>, B</w:t>
      </w:r>
      <w:r w:rsidRPr="008C0242">
        <w:rPr>
          <w:rFonts w:ascii="Times New Roman" w:hAnsi="Times New Roman" w:cs="Times New Roman"/>
          <w:bCs/>
          <w:sz w:val="24"/>
          <w:szCs w:val="24"/>
          <w:vertAlign w:val="subscript"/>
        </w:rPr>
        <w:t>12</w:t>
      </w:r>
      <w:r w:rsidR="008C0242">
        <w:rPr>
          <w:rFonts w:ascii="Times New Roman" w:hAnsi="Times New Roman" w:cs="Times New Roman"/>
          <w:bCs/>
          <w:sz w:val="24"/>
          <w:szCs w:val="24"/>
          <w:vertAlign w:val="subscript"/>
        </w:rPr>
        <w:t xml:space="preserve">, </w:t>
      </w:r>
      <w:r w:rsidRPr="008C0242">
        <w:rPr>
          <w:rFonts w:ascii="Times New Roman" w:hAnsi="Times New Roman" w:cs="Times New Roman"/>
          <w:bCs/>
          <w:sz w:val="24"/>
          <w:szCs w:val="24"/>
        </w:rPr>
        <w:t xml:space="preserve">folát, vitamin D). </w:t>
      </w:r>
      <w:r w:rsidR="007E3EE4" w:rsidRPr="008C0242">
        <w:rPr>
          <w:rFonts w:ascii="Times New Roman" w:hAnsi="Times New Roman" w:cs="Times New Roman"/>
          <w:bCs/>
          <w:sz w:val="24"/>
          <w:szCs w:val="24"/>
        </w:rPr>
        <w:t>Mikronutrienty by měly být podány vždy, když podáváme makronutrienty</w:t>
      </w:r>
      <w:r w:rsidR="007E3EE4">
        <w:rPr>
          <w:rFonts w:ascii="Times New Roman" w:hAnsi="Times New Roman" w:cs="Times New Roman"/>
          <w:bCs/>
          <w:sz w:val="24"/>
          <w:szCs w:val="24"/>
        </w:rPr>
        <w:t>.</w:t>
      </w:r>
      <w:r w:rsidR="007E3EE4" w:rsidRPr="008C0242">
        <w:rPr>
          <w:rFonts w:ascii="Times New Roman" w:hAnsi="Times New Roman" w:cs="Times New Roman"/>
          <w:bCs/>
          <w:sz w:val="24"/>
          <w:szCs w:val="24"/>
        </w:rPr>
        <w:t xml:space="preserve"> </w:t>
      </w:r>
      <w:r w:rsidR="008C0242">
        <w:rPr>
          <w:rFonts w:ascii="Times New Roman" w:hAnsi="Times New Roman" w:cs="Times New Roman"/>
          <w:bCs/>
          <w:sz w:val="24"/>
          <w:szCs w:val="24"/>
        </w:rPr>
        <w:t>U pacientů odkázaných jen na parenterální příjem je situace většinou řešena přidáním standartního multisložkového přípravku stopových prvků a vitamínů, které kryjí u většiny doporučenou denní dávku k dennímu rozpisu parenterální výživy. Problém nastává u pacientů s cholestázou, či jiným hepatálním poškozením, kde jsou tyto přípravky pro vysoký- až 10 násobný obsah manganu a limitní obsah mědi kontraindikovány</w:t>
      </w:r>
      <w:r w:rsidR="00836B2F">
        <w:rPr>
          <w:rFonts w:ascii="Times New Roman" w:hAnsi="Times New Roman" w:cs="Times New Roman"/>
          <w:bCs/>
          <w:sz w:val="24"/>
          <w:szCs w:val="24"/>
        </w:rPr>
        <w:t xml:space="preserve"> a to zejména u dětí</w:t>
      </w:r>
      <w:r w:rsidR="008C0242">
        <w:rPr>
          <w:rFonts w:ascii="Times New Roman" w:hAnsi="Times New Roman" w:cs="Times New Roman"/>
          <w:bCs/>
          <w:sz w:val="24"/>
          <w:szCs w:val="24"/>
        </w:rPr>
        <w:t xml:space="preserve">. </w:t>
      </w:r>
      <w:r w:rsidR="009706E6">
        <w:rPr>
          <w:rFonts w:ascii="Times New Roman" w:hAnsi="Times New Roman" w:cs="Times New Roman"/>
          <w:bCs/>
          <w:sz w:val="24"/>
          <w:szCs w:val="24"/>
        </w:rPr>
        <w:t>Proto jsou navrhovány speciální receptury pro pacienty na totální parenterální výživě s cholestatickou hepatopatií. Pittsburgská skupina  podává kombinaci mikronutrientů, kde zohledňuje koncentraci ALP- tedy</w:t>
      </w:r>
      <w:r w:rsidR="0006080A">
        <w:rPr>
          <w:rFonts w:ascii="Times New Roman" w:hAnsi="Times New Roman" w:cs="Times New Roman"/>
          <w:bCs/>
          <w:sz w:val="24"/>
          <w:szCs w:val="24"/>
        </w:rPr>
        <w:t xml:space="preserve"> případnou elevací markeru pro přítomnost</w:t>
      </w:r>
      <w:r w:rsidR="009706E6">
        <w:rPr>
          <w:rFonts w:ascii="Times New Roman" w:hAnsi="Times New Roman" w:cs="Times New Roman"/>
          <w:bCs/>
          <w:sz w:val="24"/>
          <w:szCs w:val="24"/>
        </w:rPr>
        <w:t xml:space="preserve"> cholestázy</w:t>
      </w:r>
      <w:r w:rsidR="007E3EE4">
        <w:rPr>
          <w:rFonts w:ascii="Times New Roman" w:hAnsi="Times New Roman" w:cs="Times New Roman"/>
          <w:bCs/>
          <w:sz w:val="24"/>
          <w:szCs w:val="24"/>
        </w:rPr>
        <w:t xml:space="preserve"> a doporučuje kontrolu vitamínů A, D, E, B1, B2, B6, B12, C, listové kyseliny, Cr, Se, Zn, Cu a Mn  v první fá</w:t>
      </w:r>
      <w:r w:rsidR="0006080A">
        <w:rPr>
          <w:rFonts w:ascii="Times New Roman" w:hAnsi="Times New Roman" w:cs="Times New Roman"/>
          <w:bCs/>
          <w:sz w:val="24"/>
          <w:szCs w:val="24"/>
        </w:rPr>
        <w:t>z</w:t>
      </w:r>
      <w:r w:rsidR="007E3EE4">
        <w:rPr>
          <w:rFonts w:ascii="Times New Roman" w:hAnsi="Times New Roman" w:cs="Times New Roman"/>
          <w:bCs/>
          <w:sz w:val="24"/>
          <w:szCs w:val="24"/>
        </w:rPr>
        <w:t>i a pak každých 6 měsíců po transplantaci.</w:t>
      </w:r>
      <w:r w:rsidR="009706E6">
        <w:rPr>
          <w:rFonts w:ascii="Times New Roman" w:hAnsi="Times New Roman" w:cs="Times New Roman"/>
          <w:bCs/>
          <w:sz w:val="24"/>
          <w:szCs w:val="24"/>
        </w:rPr>
        <w:t xml:space="preserve"> </w:t>
      </w:r>
      <w:r w:rsidR="007E3EE4">
        <w:rPr>
          <w:rFonts w:ascii="Times New Roman" w:hAnsi="Times New Roman" w:cs="Times New Roman"/>
          <w:bCs/>
          <w:sz w:val="24"/>
          <w:szCs w:val="24"/>
        </w:rPr>
        <w:t>D</w:t>
      </w:r>
      <w:r w:rsidR="007E3EE4" w:rsidRPr="008C0242">
        <w:rPr>
          <w:rFonts w:ascii="Times New Roman" w:hAnsi="Times New Roman" w:cs="Times New Roman"/>
          <w:bCs/>
          <w:sz w:val="24"/>
          <w:szCs w:val="24"/>
        </w:rPr>
        <w:t xml:space="preserve">oporučení pro sledování mikronutrientů ve Skotsku vyžaduje sledování Zn, Se, Cu, Mn, </w:t>
      </w:r>
      <w:r w:rsidR="007E3EE4">
        <w:rPr>
          <w:rFonts w:ascii="Times New Roman" w:hAnsi="Times New Roman" w:cs="Times New Roman"/>
          <w:bCs/>
          <w:sz w:val="24"/>
          <w:szCs w:val="24"/>
        </w:rPr>
        <w:t>v</w:t>
      </w:r>
      <w:r w:rsidR="007E3EE4" w:rsidRPr="008C0242">
        <w:rPr>
          <w:rFonts w:ascii="Times New Roman" w:hAnsi="Times New Roman" w:cs="Times New Roman"/>
          <w:bCs/>
          <w:sz w:val="24"/>
          <w:szCs w:val="24"/>
        </w:rPr>
        <w:t>itamin</w:t>
      </w:r>
      <w:r w:rsidR="007E3EE4">
        <w:rPr>
          <w:rFonts w:ascii="Times New Roman" w:hAnsi="Times New Roman" w:cs="Times New Roman"/>
          <w:bCs/>
          <w:sz w:val="24"/>
          <w:szCs w:val="24"/>
        </w:rPr>
        <w:t>ů</w:t>
      </w:r>
      <w:r w:rsidR="007E3EE4" w:rsidRPr="008C0242">
        <w:rPr>
          <w:rFonts w:ascii="Times New Roman" w:hAnsi="Times New Roman" w:cs="Times New Roman"/>
          <w:bCs/>
          <w:sz w:val="24"/>
          <w:szCs w:val="24"/>
        </w:rPr>
        <w:t xml:space="preserve"> B</w:t>
      </w:r>
      <w:r w:rsidR="007E3EE4" w:rsidRPr="008C0242">
        <w:rPr>
          <w:rFonts w:ascii="Times New Roman" w:hAnsi="Times New Roman" w:cs="Times New Roman"/>
          <w:bCs/>
          <w:sz w:val="24"/>
          <w:szCs w:val="24"/>
          <w:vertAlign w:val="subscript"/>
        </w:rPr>
        <w:t>1</w:t>
      </w:r>
      <w:r w:rsidR="007E3EE4" w:rsidRPr="008C0242">
        <w:rPr>
          <w:rFonts w:ascii="Times New Roman" w:hAnsi="Times New Roman" w:cs="Times New Roman"/>
          <w:bCs/>
          <w:sz w:val="24"/>
          <w:szCs w:val="24"/>
        </w:rPr>
        <w:t>, B</w:t>
      </w:r>
      <w:r w:rsidR="007E3EE4" w:rsidRPr="008C0242">
        <w:rPr>
          <w:rFonts w:ascii="Times New Roman" w:hAnsi="Times New Roman" w:cs="Times New Roman"/>
          <w:bCs/>
          <w:sz w:val="24"/>
          <w:szCs w:val="24"/>
          <w:vertAlign w:val="subscript"/>
        </w:rPr>
        <w:t>2</w:t>
      </w:r>
      <w:r w:rsidR="007E3EE4" w:rsidRPr="008C0242">
        <w:rPr>
          <w:rFonts w:ascii="Times New Roman" w:hAnsi="Times New Roman" w:cs="Times New Roman"/>
          <w:bCs/>
          <w:sz w:val="24"/>
          <w:szCs w:val="24"/>
        </w:rPr>
        <w:t>, B</w:t>
      </w:r>
      <w:r w:rsidR="007E3EE4" w:rsidRPr="008C0242">
        <w:rPr>
          <w:rFonts w:ascii="Times New Roman" w:hAnsi="Times New Roman" w:cs="Times New Roman"/>
          <w:bCs/>
          <w:sz w:val="24"/>
          <w:szCs w:val="24"/>
          <w:vertAlign w:val="subscript"/>
        </w:rPr>
        <w:t>6</w:t>
      </w:r>
      <w:r w:rsidR="007E3EE4" w:rsidRPr="008C0242">
        <w:rPr>
          <w:rFonts w:ascii="Times New Roman" w:hAnsi="Times New Roman" w:cs="Times New Roman"/>
          <w:bCs/>
          <w:sz w:val="24"/>
          <w:szCs w:val="24"/>
        </w:rPr>
        <w:t>, A, E a glutathionperoxidázy u dlouhodobé domácí parenterální výživy každé 3 měsíce.</w:t>
      </w:r>
      <w:r w:rsidR="007E3EE4">
        <w:rPr>
          <w:rFonts w:ascii="Times New Roman" w:hAnsi="Times New Roman" w:cs="Times New Roman"/>
          <w:bCs/>
          <w:sz w:val="24"/>
          <w:szCs w:val="24"/>
        </w:rPr>
        <w:t xml:space="preserve"> Snížené </w:t>
      </w:r>
      <w:r w:rsidR="00F85D01">
        <w:rPr>
          <w:rFonts w:ascii="Times New Roman" w:hAnsi="Times New Roman" w:cs="Times New Roman"/>
          <w:bCs/>
          <w:sz w:val="24"/>
          <w:szCs w:val="24"/>
        </w:rPr>
        <w:t xml:space="preserve">hladiny vitamínů rozpustných v tucích, vitamínu B12 a B 6 </w:t>
      </w:r>
      <w:r w:rsidR="00BB58F2">
        <w:rPr>
          <w:rFonts w:ascii="Times New Roman" w:hAnsi="Times New Roman" w:cs="Times New Roman"/>
          <w:bCs/>
          <w:sz w:val="24"/>
          <w:szCs w:val="24"/>
        </w:rPr>
        <w:t xml:space="preserve">v dalších fázích </w:t>
      </w:r>
      <w:r w:rsidR="00F85D01">
        <w:rPr>
          <w:rFonts w:ascii="Times New Roman" w:hAnsi="Times New Roman" w:cs="Times New Roman"/>
          <w:bCs/>
          <w:sz w:val="24"/>
          <w:szCs w:val="24"/>
        </w:rPr>
        <w:t>vypovídají o malabsorbci štěpu</w:t>
      </w:r>
      <w:r w:rsidR="0006080A">
        <w:rPr>
          <w:rFonts w:ascii="Times New Roman" w:hAnsi="Times New Roman" w:cs="Times New Roman"/>
          <w:bCs/>
          <w:sz w:val="24"/>
          <w:szCs w:val="24"/>
        </w:rPr>
        <w:t xml:space="preserve"> v dalších fázích terapie</w:t>
      </w:r>
      <w:r w:rsidR="00F85D01">
        <w:rPr>
          <w:rFonts w:ascii="Times New Roman" w:hAnsi="Times New Roman" w:cs="Times New Roman"/>
          <w:bCs/>
          <w:sz w:val="24"/>
          <w:szCs w:val="24"/>
        </w:rPr>
        <w:t>.</w:t>
      </w:r>
    </w:p>
    <w:p w:rsidR="00BB58F2" w:rsidRPr="00BB58F2" w:rsidRDefault="00BB58F2" w:rsidP="007E3EE4">
      <w:pPr>
        <w:spacing w:line="360" w:lineRule="auto"/>
        <w:rPr>
          <w:bCs/>
        </w:rPr>
      </w:pPr>
      <w:r>
        <w:rPr>
          <w:rFonts w:ascii="Times New Roman" w:hAnsi="Times New Roman" w:cs="Times New Roman"/>
          <w:bCs/>
          <w:sz w:val="24"/>
          <w:szCs w:val="24"/>
        </w:rPr>
        <w:lastRenderedPageBreak/>
        <w:t>Interpretace plazmatických hladin mikronutrientů je validní pouze v nepřítomnosti akutního zánětu</w:t>
      </w:r>
      <w:r w:rsidR="00F94FC4">
        <w:rPr>
          <w:rFonts w:ascii="Times New Roman" w:hAnsi="Times New Roman" w:cs="Times New Roman"/>
          <w:bCs/>
          <w:sz w:val="24"/>
          <w:szCs w:val="24"/>
        </w:rPr>
        <w:t>. P</w:t>
      </w:r>
      <w:r w:rsidR="00256FB9" w:rsidRPr="00BB58F2">
        <w:rPr>
          <w:rFonts w:ascii="Times New Roman" w:hAnsi="Times New Roman" w:cs="Times New Roman"/>
          <w:bCs/>
          <w:sz w:val="24"/>
          <w:szCs w:val="24"/>
          <w:lang w:val="en-US"/>
        </w:rPr>
        <w:t>la</w:t>
      </w:r>
      <w:r w:rsidR="00256FB9" w:rsidRPr="00BB58F2">
        <w:rPr>
          <w:rFonts w:ascii="Times New Roman" w:hAnsi="Times New Roman" w:cs="Times New Roman"/>
          <w:bCs/>
          <w:sz w:val="24"/>
          <w:szCs w:val="24"/>
        </w:rPr>
        <w:t>z</w:t>
      </w:r>
      <w:r w:rsidR="00256FB9" w:rsidRPr="00BB58F2">
        <w:rPr>
          <w:rFonts w:ascii="Times New Roman" w:hAnsi="Times New Roman" w:cs="Times New Roman"/>
          <w:bCs/>
          <w:sz w:val="24"/>
          <w:szCs w:val="24"/>
          <w:lang w:val="en-US"/>
        </w:rPr>
        <w:t>matick</w:t>
      </w:r>
      <w:r w:rsidR="00256FB9" w:rsidRPr="00BB58F2">
        <w:rPr>
          <w:rFonts w:ascii="Times New Roman" w:hAnsi="Times New Roman" w:cs="Times New Roman"/>
          <w:bCs/>
          <w:sz w:val="24"/>
          <w:szCs w:val="24"/>
        </w:rPr>
        <w:t>á</w:t>
      </w:r>
      <w:r w:rsidR="00256FB9" w:rsidRPr="00BB58F2">
        <w:rPr>
          <w:rFonts w:ascii="Times New Roman" w:hAnsi="Times New Roman" w:cs="Times New Roman"/>
          <w:bCs/>
          <w:sz w:val="24"/>
          <w:szCs w:val="24"/>
          <w:lang w:val="en-US"/>
        </w:rPr>
        <w:t xml:space="preserve"> hladina </w:t>
      </w:r>
      <w:r w:rsidR="00256FB9" w:rsidRPr="00BB58F2">
        <w:rPr>
          <w:rFonts w:ascii="Times New Roman" w:hAnsi="Times New Roman" w:cs="Times New Roman"/>
          <w:bCs/>
          <w:sz w:val="24"/>
          <w:szCs w:val="24"/>
        </w:rPr>
        <w:t>Zn</w:t>
      </w:r>
      <w:r w:rsidR="00256FB9" w:rsidRPr="00BB58F2">
        <w:rPr>
          <w:rFonts w:ascii="Times New Roman" w:hAnsi="Times New Roman" w:cs="Times New Roman"/>
          <w:bCs/>
          <w:sz w:val="24"/>
          <w:szCs w:val="24"/>
          <w:lang w:val="en-US"/>
        </w:rPr>
        <w:t xml:space="preserve"> </w:t>
      </w:r>
      <w:r w:rsidR="00256FB9" w:rsidRPr="00BB58F2">
        <w:rPr>
          <w:rFonts w:ascii="Times New Roman" w:hAnsi="Times New Roman" w:cs="Times New Roman"/>
          <w:bCs/>
          <w:sz w:val="24"/>
          <w:szCs w:val="24"/>
        </w:rPr>
        <w:t xml:space="preserve">nelze interpretovat, je-li CRP </w:t>
      </w:r>
      <w:r w:rsidR="00256FB9" w:rsidRPr="00BB58F2">
        <w:rPr>
          <w:rFonts w:ascii="Times New Roman" w:hAnsi="Times New Roman" w:cs="Times New Roman"/>
          <w:bCs/>
          <w:sz w:val="24"/>
          <w:szCs w:val="24"/>
          <w:lang w:val="en-US"/>
        </w:rPr>
        <w:t>&gt;</w:t>
      </w:r>
      <w:r w:rsidR="00256FB9" w:rsidRPr="00BB58F2">
        <w:rPr>
          <w:rFonts w:ascii="Times New Roman" w:hAnsi="Times New Roman" w:cs="Times New Roman"/>
          <w:bCs/>
          <w:sz w:val="24"/>
          <w:szCs w:val="24"/>
        </w:rPr>
        <w:t xml:space="preserve"> 20mg/l Se, vit.A, D je-li CRP</w:t>
      </w:r>
      <w:r w:rsidR="00256FB9" w:rsidRPr="00BB58F2">
        <w:rPr>
          <w:rFonts w:ascii="Times New Roman" w:hAnsi="Times New Roman" w:cs="Times New Roman"/>
          <w:bCs/>
          <w:sz w:val="24"/>
          <w:szCs w:val="24"/>
          <w:lang w:val="en-US"/>
        </w:rPr>
        <w:t xml:space="preserve"> &gt;</w:t>
      </w:r>
      <w:r w:rsidR="00256FB9" w:rsidRPr="00BB58F2">
        <w:rPr>
          <w:rFonts w:ascii="Times New Roman" w:hAnsi="Times New Roman" w:cs="Times New Roman"/>
          <w:bCs/>
          <w:sz w:val="24"/>
          <w:szCs w:val="24"/>
        </w:rPr>
        <w:t xml:space="preserve"> 10mg/l a B6 a vitamín C  je-li CRP </w:t>
      </w:r>
      <w:r w:rsidR="00256FB9" w:rsidRPr="00BB58F2">
        <w:rPr>
          <w:rFonts w:ascii="Times New Roman" w:hAnsi="Times New Roman" w:cs="Times New Roman"/>
          <w:bCs/>
          <w:sz w:val="24"/>
          <w:szCs w:val="24"/>
          <w:lang w:val="en-US"/>
        </w:rPr>
        <w:t xml:space="preserve">&gt; </w:t>
      </w:r>
      <w:r w:rsidR="00256FB9" w:rsidRPr="00BB58F2">
        <w:rPr>
          <w:rFonts w:ascii="Times New Roman" w:hAnsi="Times New Roman" w:cs="Times New Roman"/>
          <w:bCs/>
          <w:sz w:val="24"/>
          <w:szCs w:val="24"/>
        </w:rPr>
        <w:t>5 mg/l</w:t>
      </w:r>
      <w:r>
        <w:rPr>
          <w:rFonts w:ascii="Times New Roman" w:hAnsi="Times New Roman" w:cs="Times New Roman"/>
          <w:bCs/>
          <w:iCs/>
          <w:sz w:val="24"/>
          <w:szCs w:val="24"/>
        </w:rPr>
        <w:t>.</w:t>
      </w:r>
      <w:r>
        <w:rPr>
          <w:rFonts w:ascii="Times New Roman" w:hAnsi="Times New Roman" w:cs="Times New Roman"/>
          <w:bCs/>
          <w:sz w:val="24"/>
          <w:szCs w:val="24"/>
        </w:rPr>
        <w:t xml:space="preserve"> Jak bylo popsáno shora vlivem cytokinů se zvýší kapilární leak a dochází k přesunu do jiných kompartmentů. Vesměs nízké hladiny referují spíše tíži stavu než reálný deficit. </w:t>
      </w:r>
    </w:p>
    <w:p w:rsidR="00C20695" w:rsidRPr="00C20695" w:rsidRDefault="00C20695" w:rsidP="00C20695">
      <w:pPr>
        <w:rPr>
          <w:rFonts w:ascii="Times New Roman" w:hAnsi="Times New Roman" w:cs="Times New Roman"/>
          <w:b/>
          <w:bCs/>
        </w:rPr>
      </w:pPr>
      <w:r w:rsidRPr="00C20695">
        <w:rPr>
          <w:rFonts w:ascii="Times New Roman" w:hAnsi="Times New Roman" w:cs="Times New Roman"/>
          <w:b/>
          <w:bCs/>
        </w:rPr>
        <w:t xml:space="preserve">Monitorace vnitřního prostředí </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Cs/>
          <w:sz w:val="24"/>
          <w:szCs w:val="24"/>
        </w:rPr>
        <w:t xml:space="preserve">Zásadní pro kauzální terapii je dekompozice </w:t>
      </w:r>
      <w:r w:rsidR="00F85D01">
        <w:rPr>
          <w:rFonts w:ascii="Times New Roman" w:hAnsi="Times New Roman" w:cs="Times New Roman"/>
          <w:bCs/>
          <w:sz w:val="24"/>
          <w:szCs w:val="24"/>
        </w:rPr>
        <w:t>nálezu acidobazické rovnováhy</w:t>
      </w:r>
      <w:r w:rsidRPr="00F85D01">
        <w:rPr>
          <w:rFonts w:ascii="Times New Roman" w:hAnsi="Times New Roman" w:cs="Times New Roman"/>
          <w:bCs/>
          <w:sz w:val="24"/>
          <w:szCs w:val="24"/>
        </w:rPr>
        <w:t>, identifikace jednotlivých poruch</w:t>
      </w:r>
      <w:r w:rsidR="00F85D01">
        <w:rPr>
          <w:rFonts w:ascii="Times New Roman" w:hAnsi="Times New Roman" w:cs="Times New Roman"/>
          <w:bCs/>
          <w:sz w:val="24"/>
          <w:szCs w:val="24"/>
        </w:rPr>
        <w:t xml:space="preserve"> v metabolické i respirační složce.</w:t>
      </w:r>
      <w:r w:rsidRPr="00F85D01">
        <w:rPr>
          <w:rFonts w:ascii="Times New Roman" w:hAnsi="Times New Roman" w:cs="Times New Roman"/>
          <w:bCs/>
          <w:sz w:val="24"/>
          <w:szCs w:val="24"/>
        </w:rPr>
        <w:t xml:space="preserve"> Hodnotíme klinická data, iontogram, informace o hydrataci, plazmatických proteinech, stavu renálních a hepatálních funkcích, o kompenzaci glyk</w:t>
      </w:r>
      <w:r w:rsidR="00F94FC4">
        <w:rPr>
          <w:rFonts w:ascii="Times New Roman" w:hAnsi="Times New Roman" w:cs="Times New Roman"/>
          <w:bCs/>
          <w:sz w:val="24"/>
          <w:szCs w:val="24"/>
        </w:rPr>
        <w:t>é</w:t>
      </w:r>
      <w:r w:rsidRPr="00F85D01">
        <w:rPr>
          <w:rFonts w:ascii="Times New Roman" w:hAnsi="Times New Roman" w:cs="Times New Roman"/>
          <w:bCs/>
          <w:sz w:val="24"/>
          <w:szCs w:val="24"/>
        </w:rPr>
        <w:t>mie a samozřejmě také změřené parametry acidobazické rovnováhy. Až teprve souhrn klinických a anamnestických dat s parametry ABR může dát ucelený obraz a návod na kauzální terapii</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Cs/>
          <w:sz w:val="24"/>
          <w:szCs w:val="24"/>
        </w:rPr>
        <w:t>Jistě nás u malnutričních pacientů nepřekvapí hypoproteinemická metabolická alkalóza, ale počítat musíme také s dehydratací a koncentrační alkalózou</w:t>
      </w:r>
      <w:r w:rsidR="00F85D01">
        <w:rPr>
          <w:rFonts w:ascii="Times New Roman" w:hAnsi="Times New Roman" w:cs="Times New Roman"/>
          <w:bCs/>
          <w:sz w:val="24"/>
          <w:szCs w:val="24"/>
        </w:rPr>
        <w:t>. P</w:t>
      </w:r>
      <w:r w:rsidRPr="00F85D01">
        <w:rPr>
          <w:rFonts w:ascii="Times New Roman" w:hAnsi="Times New Roman" w:cs="Times New Roman"/>
          <w:bCs/>
          <w:sz w:val="24"/>
          <w:szCs w:val="24"/>
        </w:rPr>
        <w:t>oměrně často</w:t>
      </w:r>
      <w:r w:rsidR="00F85D01">
        <w:rPr>
          <w:rFonts w:ascii="Times New Roman" w:hAnsi="Times New Roman" w:cs="Times New Roman"/>
          <w:bCs/>
          <w:sz w:val="24"/>
          <w:szCs w:val="24"/>
        </w:rPr>
        <w:t xml:space="preserve"> se</w:t>
      </w:r>
      <w:r w:rsidRPr="00F85D01">
        <w:rPr>
          <w:rFonts w:ascii="Times New Roman" w:hAnsi="Times New Roman" w:cs="Times New Roman"/>
          <w:bCs/>
          <w:sz w:val="24"/>
          <w:szCs w:val="24"/>
        </w:rPr>
        <w:t xml:space="preserve"> vyskytují oba typy acidózy – jak metabolické (laktátová, při </w:t>
      </w:r>
      <w:r w:rsidR="00F85D01">
        <w:rPr>
          <w:rFonts w:ascii="Times New Roman" w:hAnsi="Times New Roman" w:cs="Times New Roman"/>
          <w:bCs/>
          <w:sz w:val="24"/>
          <w:szCs w:val="24"/>
        </w:rPr>
        <w:t>hypoperfuzi, anebo dysfunkci pyruvát dehydrogenázového komplexu- například při nedostatku thiaminu</w:t>
      </w:r>
      <w:r w:rsidR="00F94FC4">
        <w:rPr>
          <w:rFonts w:ascii="Times New Roman" w:hAnsi="Times New Roman" w:cs="Times New Roman"/>
          <w:bCs/>
          <w:sz w:val="24"/>
          <w:szCs w:val="24"/>
        </w:rPr>
        <w:t>,</w:t>
      </w:r>
      <w:r w:rsidR="00F85D01">
        <w:rPr>
          <w:rFonts w:ascii="Times New Roman" w:hAnsi="Times New Roman" w:cs="Times New Roman"/>
          <w:bCs/>
          <w:sz w:val="24"/>
          <w:szCs w:val="24"/>
        </w:rPr>
        <w:t xml:space="preserve"> anebo</w:t>
      </w:r>
      <w:r w:rsidRPr="00F85D01">
        <w:rPr>
          <w:rFonts w:ascii="Times New Roman" w:hAnsi="Times New Roman" w:cs="Times New Roman"/>
          <w:bCs/>
          <w:sz w:val="24"/>
          <w:szCs w:val="24"/>
        </w:rPr>
        <w:t xml:space="preserve"> při renálním selhání), tak respirační (CHOPN, snížená svalová síla, úbytek dýchacího svalstva, nadměrný přísun glukózy v parenterální výživě).</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
          <w:bCs/>
          <w:sz w:val="24"/>
          <w:szCs w:val="24"/>
        </w:rPr>
        <w:t xml:space="preserve">Renální funkce. </w:t>
      </w:r>
      <w:r w:rsidRPr="00F85D01">
        <w:rPr>
          <w:rFonts w:ascii="Times New Roman" w:hAnsi="Times New Roman" w:cs="Times New Roman"/>
          <w:bCs/>
          <w:sz w:val="24"/>
          <w:szCs w:val="24"/>
        </w:rPr>
        <w:t>Pro posuzování stavu renálních funkcí používáme rutinně stanovení urey a kreatininu v krvi, jejich odpady v moči, hodnotíme clearence kreatininu. Na některých pracovištích se vyšetřuje hladina cystatinu C</w:t>
      </w:r>
      <w:r w:rsidR="00B7333D">
        <w:rPr>
          <w:rFonts w:ascii="Times New Roman" w:hAnsi="Times New Roman" w:cs="Times New Roman"/>
          <w:bCs/>
          <w:sz w:val="24"/>
          <w:szCs w:val="24"/>
        </w:rPr>
        <w:t xml:space="preserve"> a</w:t>
      </w:r>
      <w:r w:rsidRPr="00F85D01">
        <w:rPr>
          <w:rFonts w:ascii="Times New Roman" w:hAnsi="Times New Roman" w:cs="Times New Roman"/>
          <w:bCs/>
          <w:sz w:val="24"/>
          <w:szCs w:val="24"/>
        </w:rPr>
        <w:t xml:space="preserve"> N-GAL. </w:t>
      </w:r>
      <w:r w:rsidR="00B7333D">
        <w:rPr>
          <w:rFonts w:ascii="Times New Roman" w:hAnsi="Times New Roman" w:cs="Times New Roman"/>
          <w:bCs/>
          <w:sz w:val="24"/>
          <w:szCs w:val="24"/>
        </w:rPr>
        <w:t xml:space="preserve">Právě pro včasné zachycení hrozícího renálního poškození ať již z důvodu hypoperfúze, či z důvodu nefrotoxicity podávaných léků by vyšetření N-GALu bylo s výhodou. Reaguje daleko dříve, než dojde ke zvýšení kreatininu. </w:t>
      </w:r>
      <w:r w:rsidRPr="00F85D01">
        <w:rPr>
          <w:rFonts w:ascii="Times New Roman" w:hAnsi="Times New Roman" w:cs="Times New Roman"/>
          <w:bCs/>
          <w:sz w:val="24"/>
          <w:szCs w:val="24"/>
        </w:rPr>
        <w:t>Při hodnocení urey je třeba si uvědomit, že její hodnota v krvi je zásadně ovlivněna stavem aktuální hydratace, přísunem dusíku, resp. bílkovin v potravě a mírou katabolismu. Koncentrace kreatininu v krvi se zase plně vztahuje k množství svalové hmoty.</w:t>
      </w:r>
      <w:r w:rsidR="00F94FC4">
        <w:rPr>
          <w:rFonts w:ascii="Times New Roman" w:hAnsi="Times New Roman" w:cs="Times New Roman"/>
          <w:bCs/>
          <w:sz w:val="24"/>
          <w:szCs w:val="24"/>
        </w:rPr>
        <w:t xml:space="preserve"> Pro monitoraci renálních funkcí jsou zásadní i hodnoty těchto markerů v moči doplněné o dopočítané hodnoty-jako jsou například frakční exkrece. Stejně tak důležité jsou hodnoty osmolality jak v krvi, tak v moči.</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
          <w:bCs/>
          <w:sz w:val="24"/>
          <w:szCs w:val="24"/>
        </w:rPr>
        <w:t>Jaterní funkce.</w:t>
      </w:r>
      <w:r w:rsidRPr="00F85D01">
        <w:rPr>
          <w:rFonts w:ascii="Times New Roman" w:hAnsi="Times New Roman" w:cs="Times New Roman"/>
          <w:bCs/>
          <w:sz w:val="24"/>
          <w:szCs w:val="24"/>
        </w:rPr>
        <w:t xml:space="preserve"> Ke sledování výkonnosti tak „multifunkčního orgánu“, jako jsou játra, máme několik markerů (tzv. jaterních testů) a pak mnoho jiných, uvedených na jiném místě (albumin, cholesterol, glykemie, amoniak…). </w:t>
      </w:r>
      <w:r w:rsidRPr="00C82C2D">
        <w:rPr>
          <w:rFonts w:ascii="Times New Roman" w:hAnsi="Times New Roman" w:cs="Times New Roman"/>
          <w:bCs/>
          <w:sz w:val="24"/>
          <w:szCs w:val="24"/>
        </w:rPr>
        <w:t>Jaterní testy zahrnují stanovení</w:t>
      </w:r>
      <w:r w:rsidRPr="00F85D01">
        <w:rPr>
          <w:rFonts w:ascii="Times New Roman" w:hAnsi="Times New Roman" w:cs="Times New Roman"/>
          <w:bCs/>
          <w:sz w:val="24"/>
          <w:szCs w:val="24"/>
        </w:rPr>
        <w:t xml:space="preserve"> bilirubínu,</w:t>
      </w:r>
      <w:r w:rsidR="00B7333D">
        <w:rPr>
          <w:rFonts w:ascii="Times New Roman" w:hAnsi="Times New Roman" w:cs="Times New Roman"/>
          <w:bCs/>
          <w:sz w:val="24"/>
          <w:szCs w:val="24"/>
        </w:rPr>
        <w:t xml:space="preserve"> </w:t>
      </w:r>
      <w:r w:rsidR="00B7333D">
        <w:rPr>
          <w:rFonts w:ascii="Times New Roman" w:hAnsi="Times New Roman" w:cs="Times New Roman"/>
          <w:bCs/>
          <w:sz w:val="24"/>
          <w:szCs w:val="24"/>
        </w:rPr>
        <w:lastRenderedPageBreak/>
        <w:t>alanin aminotransferáz</w:t>
      </w:r>
      <w:r w:rsidR="00F94FC4">
        <w:rPr>
          <w:rFonts w:ascii="Times New Roman" w:hAnsi="Times New Roman" w:cs="Times New Roman"/>
          <w:bCs/>
          <w:sz w:val="24"/>
          <w:szCs w:val="24"/>
        </w:rPr>
        <w:t>y</w:t>
      </w:r>
      <w:r w:rsidR="00B7333D">
        <w:rPr>
          <w:rFonts w:ascii="Times New Roman" w:hAnsi="Times New Roman" w:cs="Times New Roman"/>
          <w:bCs/>
          <w:sz w:val="24"/>
          <w:szCs w:val="24"/>
        </w:rPr>
        <w:t xml:space="preserve"> (ALT)</w:t>
      </w:r>
      <w:r w:rsidRPr="00F85D01">
        <w:rPr>
          <w:rFonts w:ascii="Times New Roman" w:hAnsi="Times New Roman" w:cs="Times New Roman"/>
          <w:bCs/>
          <w:sz w:val="24"/>
          <w:szCs w:val="24"/>
        </w:rPr>
        <w:t xml:space="preserve">, </w:t>
      </w:r>
      <w:r w:rsidR="00B7333D">
        <w:rPr>
          <w:rFonts w:ascii="Times New Roman" w:hAnsi="Times New Roman" w:cs="Times New Roman"/>
          <w:bCs/>
          <w:sz w:val="24"/>
          <w:szCs w:val="24"/>
        </w:rPr>
        <w:t>aspartát aminotransferáz</w:t>
      </w:r>
      <w:r w:rsidR="00F94FC4">
        <w:rPr>
          <w:rFonts w:ascii="Times New Roman" w:hAnsi="Times New Roman" w:cs="Times New Roman"/>
          <w:bCs/>
          <w:sz w:val="24"/>
          <w:szCs w:val="24"/>
        </w:rPr>
        <w:t>y</w:t>
      </w:r>
      <w:r w:rsidR="00B7333D">
        <w:rPr>
          <w:rFonts w:ascii="Times New Roman" w:hAnsi="Times New Roman" w:cs="Times New Roman"/>
          <w:bCs/>
          <w:sz w:val="24"/>
          <w:szCs w:val="24"/>
        </w:rPr>
        <w:t xml:space="preserve"> (</w:t>
      </w:r>
      <w:r w:rsidRPr="00F85D01">
        <w:rPr>
          <w:rFonts w:ascii="Times New Roman" w:hAnsi="Times New Roman" w:cs="Times New Roman"/>
          <w:bCs/>
          <w:sz w:val="24"/>
          <w:szCs w:val="24"/>
        </w:rPr>
        <w:t>AST</w:t>
      </w:r>
      <w:r w:rsidR="00B7333D">
        <w:rPr>
          <w:rFonts w:ascii="Times New Roman" w:hAnsi="Times New Roman" w:cs="Times New Roman"/>
          <w:bCs/>
          <w:sz w:val="24"/>
          <w:szCs w:val="24"/>
        </w:rPr>
        <w:t>)</w:t>
      </w:r>
      <w:r w:rsidRPr="00F85D01">
        <w:rPr>
          <w:rFonts w:ascii="Times New Roman" w:hAnsi="Times New Roman" w:cs="Times New Roman"/>
          <w:bCs/>
          <w:sz w:val="24"/>
          <w:szCs w:val="24"/>
        </w:rPr>
        <w:t xml:space="preserve">, </w:t>
      </w:r>
      <w:r w:rsidR="00B7333D">
        <w:rPr>
          <w:rFonts w:ascii="Times New Roman" w:hAnsi="Times New Roman" w:cs="Times New Roman"/>
          <w:bCs/>
          <w:sz w:val="24"/>
          <w:szCs w:val="24"/>
        </w:rPr>
        <w:t>gama glutamyltransferáz</w:t>
      </w:r>
      <w:r w:rsidR="00F94FC4">
        <w:rPr>
          <w:rFonts w:ascii="Times New Roman" w:hAnsi="Times New Roman" w:cs="Times New Roman"/>
          <w:bCs/>
          <w:sz w:val="24"/>
          <w:szCs w:val="24"/>
        </w:rPr>
        <w:t>y</w:t>
      </w:r>
      <w:r w:rsidR="00B7333D">
        <w:rPr>
          <w:rFonts w:ascii="Times New Roman" w:hAnsi="Times New Roman" w:cs="Times New Roman"/>
          <w:bCs/>
          <w:sz w:val="24"/>
          <w:szCs w:val="24"/>
        </w:rPr>
        <w:t xml:space="preserve"> (</w:t>
      </w:r>
      <w:r w:rsidRPr="00F85D01">
        <w:rPr>
          <w:rFonts w:ascii="Times New Roman" w:hAnsi="Times New Roman" w:cs="Times New Roman"/>
          <w:bCs/>
          <w:sz w:val="24"/>
          <w:szCs w:val="24"/>
        </w:rPr>
        <w:t>GGT</w:t>
      </w:r>
      <w:r w:rsidR="00B7333D">
        <w:rPr>
          <w:rFonts w:ascii="Times New Roman" w:hAnsi="Times New Roman" w:cs="Times New Roman"/>
          <w:bCs/>
          <w:sz w:val="24"/>
          <w:szCs w:val="24"/>
        </w:rPr>
        <w:t>)</w:t>
      </w:r>
      <w:r w:rsidRPr="00F85D01">
        <w:rPr>
          <w:rFonts w:ascii="Times New Roman" w:hAnsi="Times New Roman" w:cs="Times New Roman"/>
          <w:bCs/>
          <w:sz w:val="24"/>
          <w:szCs w:val="24"/>
        </w:rPr>
        <w:t>,</w:t>
      </w:r>
      <w:r w:rsidR="00B7333D">
        <w:rPr>
          <w:rFonts w:ascii="Times New Roman" w:hAnsi="Times New Roman" w:cs="Times New Roman"/>
          <w:bCs/>
          <w:sz w:val="24"/>
          <w:szCs w:val="24"/>
        </w:rPr>
        <w:t xml:space="preserve"> alkalick</w:t>
      </w:r>
      <w:r w:rsidR="00F94FC4">
        <w:rPr>
          <w:rFonts w:ascii="Times New Roman" w:hAnsi="Times New Roman" w:cs="Times New Roman"/>
          <w:bCs/>
          <w:sz w:val="24"/>
          <w:szCs w:val="24"/>
        </w:rPr>
        <w:t>é</w:t>
      </w:r>
      <w:r w:rsidR="00B7333D">
        <w:rPr>
          <w:rFonts w:ascii="Times New Roman" w:hAnsi="Times New Roman" w:cs="Times New Roman"/>
          <w:bCs/>
          <w:sz w:val="24"/>
          <w:szCs w:val="24"/>
        </w:rPr>
        <w:t xml:space="preserve"> fosfatáz</w:t>
      </w:r>
      <w:r w:rsidR="00F94FC4">
        <w:rPr>
          <w:rFonts w:ascii="Times New Roman" w:hAnsi="Times New Roman" w:cs="Times New Roman"/>
          <w:bCs/>
          <w:sz w:val="24"/>
          <w:szCs w:val="24"/>
        </w:rPr>
        <w:t>y</w:t>
      </w:r>
      <w:r w:rsidR="00B7333D">
        <w:rPr>
          <w:rFonts w:ascii="Times New Roman" w:hAnsi="Times New Roman" w:cs="Times New Roman"/>
          <w:bCs/>
          <w:sz w:val="24"/>
          <w:szCs w:val="24"/>
        </w:rPr>
        <w:t xml:space="preserve"> (</w:t>
      </w:r>
      <w:r w:rsidRPr="00F85D01">
        <w:rPr>
          <w:rFonts w:ascii="Times New Roman" w:hAnsi="Times New Roman" w:cs="Times New Roman"/>
          <w:bCs/>
          <w:sz w:val="24"/>
          <w:szCs w:val="24"/>
        </w:rPr>
        <w:t>ALP</w:t>
      </w:r>
      <w:r w:rsidR="00B7333D">
        <w:rPr>
          <w:rFonts w:ascii="Times New Roman" w:hAnsi="Times New Roman" w:cs="Times New Roman"/>
          <w:bCs/>
          <w:sz w:val="24"/>
          <w:szCs w:val="24"/>
        </w:rPr>
        <w:t>)</w:t>
      </w:r>
      <w:r w:rsidRPr="00F85D01">
        <w:rPr>
          <w:rFonts w:ascii="Times New Roman" w:hAnsi="Times New Roman" w:cs="Times New Roman"/>
          <w:bCs/>
          <w:sz w:val="24"/>
          <w:szCs w:val="24"/>
        </w:rPr>
        <w:t>,</w:t>
      </w:r>
      <w:r w:rsidR="00B7333D">
        <w:rPr>
          <w:rFonts w:ascii="Times New Roman" w:hAnsi="Times New Roman" w:cs="Times New Roman"/>
          <w:bCs/>
          <w:sz w:val="24"/>
          <w:szCs w:val="24"/>
        </w:rPr>
        <w:t xml:space="preserve"> laktát dehydrogenáz</w:t>
      </w:r>
      <w:r w:rsidR="00F94FC4">
        <w:rPr>
          <w:rFonts w:ascii="Times New Roman" w:hAnsi="Times New Roman" w:cs="Times New Roman"/>
          <w:bCs/>
          <w:sz w:val="24"/>
          <w:szCs w:val="24"/>
        </w:rPr>
        <w:t>y</w:t>
      </w:r>
      <w:r w:rsidR="00B7333D">
        <w:rPr>
          <w:rFonts w:ascii="Times New Roman" w:hAnsi="Times New Roman" w:cs="Times New Roman"/>
          <w:bCs/>
          <w:sz w:val="24"/>
          <w:szCs w:val="24"/>
        </w:rPr>
        <w:t xml:space="preserve"> (</w:t>
      </w:r>
      <w:r w:rsidRPr="00F85D01">
        <w:rPr>
          <w:rFonts w:ascii="Times New Roman" w:hAnsi="Times New Roman" w:cs="Times New Roman"/>
          <w:bCs/>
          <w:sz w:val="24"/>
          <w:szCs w:val="24"/>
        </w:rPr>
        <w:t>LD</w:t>
      </w:r>
      <w:r w:rsidR="00B7333D">
        <w:rPr>
          <w:rFonts w:ascii="Times New Roman" w:hAnsi="Times New Roman" w:cs="Times New Roman"/>
          <w:bCs/>
          <w:sz w:val="24"/>
          <w:szCs w:val="24"/>
        </w:rPr>
        <w:t>)</w:t>
      </w:r>
      <w:r w:rsidRPr="00F85D01">
        <w:rPr>
          <w:rFonts w:ascii="Times New Roman" w:hAnsi="Times New Roman" w:cs="Times New Roman"/>
          <w:bCs/>
          <w:sz w:val="24"/>
          <w:szCs w:val="24"/>
        </w:rPr>
        <w:t>. Zde jen třeba připomenout různou dynamiku a výpovědní hodnotu obou transamináz</w:t>
      </w:r>
      <w:r w:rsidR="00B7333D">
        <w:rPr>
          <w:rFonts w:ascii="Times New Roman" w:hAnsi="Times New Roman" w:cs="Times New Roman"/>
          <w:bCs/>
          <w:sz w:val="24"/>
          <w:szCs w:val="24"/>
        </w:rPr>
        <w:t xml:space="preserve">. </w:t>
      </w:r>
      <w:r w:rsidRPr="00F85D01">
        <w:rPr>
          <w:rFonts w:ascii="Times New Roman" w:hAnsi="Times New Roman" w:cs="Times New Roman"/>
          <w:bCs/>
          <w:sz w:val="24"/>
          <w:szCs w:val="24"/>
        </w:rPr>
        <w:t>ALT se vztahuje spíše k jaternímu postižení, hodnoty AST bývají často zvýšeny na vrub svalovému postižení. Také rychlost nástupu</w:t>
      </w:r>
      <w:r w:rsidR="00B7333D">
        <w:rPr>
          <w:rFonts w:ascii="Times New Roman" w:hAnsi="Times New Roman" w:cs="Times New Roman"/>
          <w:bCs/>
          <w:sz w:val="24"/>
          <w:szCs w:val="24"/>
        </w:rPr>
        <w:t xml:space="preserve"> se liší,</w:t>
      </w:r>
      <w:r w:rsidRPr="00F85D01">
        <w:rPr>
          <w:rFonts w:ascii="Times New Roman" w:hAnsi="Times New Roman" w:cs="Times New Roman"/>
          <w:bCs/>
          <w:sz w:val="24"/>
          <w:szCs w:val="24"/>
        </w:rPr>
        <w:t xml:space="preserve"> AST </w:t>
      </w:r>
      <w:r w:rsidR="00B7333D">
        <w:rPr>
          <w:rFonts w:ascii="Times New Roman" w:hAnsi="Times New Roman" w:cs="Times New Roman"/>
          <w:bCs/>
          <w:sz w:val="24"/>
          <w:szCs w:val="24"/>
        </w:rPr>
        <w:t>má rychlejší dynamiku.</w:t>
      </w:r>
      <w:r w:rsidRPr="00F85D01">
        <w:rPr>
          <w:rFonts w:ascii="Times New Roman" w:hAnsi="Times New Roman" w:cs="Times New Roman"/>
          <w:bCs/>
          <w:sz w:val="24"/>
          <w:szCs w:val="24"/>
        </w:rPr>
        <w:t xml:space="preserve"> Při jaterním postižení se využívá rozdílného výskytu obou enzymů. Hrubšímu poškození – destrukce buňky odpovídá vyšší podíl AST. ALP a GGT</w:t>
      </w:r>
      <w:r w:rsidR="00B7333D">
        <w:rPr>
          <w:rFonts w:ascii="Times New Roman" w:hAnsi="Times New Roman" w:cs="Times New Roman"/>
          <w:bCs/>
          <w:sz w:val="24"/>
          <w:szCs w:val="24"/>
        </w:rPr>
        <w:t>, takzvané obstrukční enzymy,</w:t>
      </w:r>
      <w:r w:rsidRPr="00F85D01">
        <w:rPr>
          <w:rFonts w:ascii="Times New Roman" w:hAnsi="Times New Roman" w:cs="Times New Roman"/>
          <w:bCs/>
          <w:sz w:val="24"/>
          <w:szCs w:val="24"/>
        </w:rPr>
        <w:t xml:space="preserve"> se zvyšují při intra- i extrahepatální </w:t>
      </w:r>
      <w:r w:rsidR="00B7333D">
        <w:rPr>
          <w:rFonts w:ascii="Times New Roman" w:hAnsi="Times New Roman" w:cs="Times New Roman"/>
          <w:bCs/>
          <w:sz w:val="24"/>
          <w:szCs w:val="24"/>
        </w:rPr>
        <w:t>cholestáze.</w:t>
      </w:r>
      <w:r w:rsidRPr="00F85D01">
        <w:rPr>
          <w:rFonts w:ascii="Times New Roman" w:hAnsi="Times New Roman" w:cs="Times New Roman"/>
          <w:bCs/>
          <w:sz w:val="24"/>
          <w:szCs w:val="24"/>
        </w:rPr>
        <w:t xml:space="preserve"> ALP má ještě další izoenzymy – střevní, kostní a placentární, jejich zvýšení může být důvodem izolované elevace ALP. Zvýšení samotné GGT je známkou toxického působení</w:t>
      </w:r>
      <w:r w:rsidR="00B7333D">
        <w:rPr>
          <w:rFonts w:ascii="Times New Roman" w:hAnsi="Times New Roman" w:cs="Times New Roman"/>
          <w:bCs/>
          <w:sz w:val="24"/>
          <w:szCs w:val="24"/>
        </w:rPr>
        <w:t xml:space="preserve"> na jaterní tkáň</w:t>
      </w:r>
      <w:r w:rsidR="00BA60CC">
        <w:rPr>
          <w:rFonts w:ascii="Times New Roman" w:hAnsi="Times New Roman" w:cs="Times New Roman"/>
          <w:bCs/>
          <w:sz w:val="24"/>
          <w:szCs w:val="24"/>
        </w:rPr>
        <w:t xml:space="preserve">. </w:t>
      </w:r>
      <w:r w:rsidRPr="00F85D01">
        <w:rPr>
          <w:rFonts w:ascii="Times New Roman" w:hAnsi="Times New Roman" w:cs="Times New Roman"/>
          <w:bCs/>
          <w:sz w:val="24"/>
          <w:szCs w:val="24"/>
        </w:rPr>
        <w:t xml:space="preserve">Nejčastěji se popisuje jeho elevace u alkoholiků, ale přítomna je též při chemoterapii. </w:t>
      </w:r>
      <w:r w:rsidR="00BA60CC">
        <w:rPr>
          <w:rFonts w:ascii="Times New Roman" w:hAnsi="Times New Roman" w:cs="Times New Roman"/>
          <w:bCs/>
          <w:sz w:val="24"/>
          <w:szCs w:val="24"/>
        </w:rPr>
        <w:t xml:space="preserve">U pacientů se selhaným střevem, odkázaných výhradně na parenterální výživu, se velice často rozvíjí </w:t>
      </w:r>
      <w:r w:rsidR="0049643A">
        <w:rPr>
          <w:rFonts w:ascii="Times New Roman" w:hAnsi="Times New Roman" w:cs="Times New Roman"/>
          <w:bCs/>
          <w:sz w:val="24"/>
          <w:szCs w:val="24"/>
        </w:rPr>
        <w:t>hepatální poškození IFALD ( intestinal failure associated liver disease), bývá přítomna steatóza, fibróza, cholestáza, cirhóza. Prevalence výskytu je 15-85%, více u dětí.</w:t>
      </w:r>
      <w:r w:rsidR="00BA60CC">
        <w:rPr>
          <w:rFonts w:ascii="Times New Roman" w:hAnsi="Times New Roman" w:cs="Times New Roman"/>
          <w:bCs/>
          <w:sz w:val="24"/>
          <w:szCs w:val="24"/>
        </w:rPr>
        <w:t xml:space="preserve"> </w:t>
      </w:r>
      <w:r w:rsidRPr="00F85D01">
        <w:rPr>
          <w:rFonts w:ascii="Times New Roman" w:hAnsi="Times New Roman" w:cs="Times New Roman"/>
          <w:bCs/>
          <w:sz w:val="24"/>
          <w:szCs w:val="24"/>
        </w:rPr>
        <w:t xml:space="preserve">Je třeba si připomenout možnou elevaci obou </w:t>
      </w:r>
      <w:r w:rsidR="0056244E">
        <w:rPr>
          <w:rFonts w:ascii="Times New Roman" w:hAnsi="Times New Roman" w:cs="Times New Roman"/>
          <w:bCs/>
          <w:sz w:val="24"/>
          <w:szCs w:val="24"/>
        </w:rPr>
        <w:t xml:space="preserve">obstrukčních </w:t>
      </w:r>
      <w:r w:rsidRPr="00F85D01">
        <w:rPr>
          <w:rFonts w:ascii="Times New Roman" w:hAnsi="Times New Roman" w:cs="Times New Roman"/>
          <w:bCs/>
          <w:sz w:val="24"/>
          <w:szCs w:val="24"/>
        </w:rPr>
        <w:t>enzymů bez zvýšení bilirubínu</w:t>
      </w:r>
      <w:r w:rsidR="0056244E">
        <w:rPr>
          <w:rFonts w:ascii="Times New Roman" w:hAnsi="Times New Roman" w:cs="Times New Roman"/>
          <w:bCs/>
          <w:sz w:val="24"/>
          <w:szCs w:val="24"/>
        </w:rPr>
        <w:t>, ten může začít stoupat až po 10 i více týdnech parenterální výživy.</w:t>
      </w:r>
      <w:r w:rsidRPr="00F85D01">
        <w:rPr>
          <w:rFonts w:ascii="Times New Roman" w:hAnsi="Times New Roman" w:cs="Times New Roman"/>
          <w:bCs/>
          <w:sz w:val="24"/>
          <w:szCs w:val="24"/>
        </w:rPr>
        <w:t xml:space="preserve"> </w:t>
      </w:r>
      <w:r w:rsidR="00BA60CC">
        <w:rPr>
          <w:rFonts w:ascii="Times New Roman" w:hAnsi="Times New Roman" w:cs="Times New Roman"/>
          <w:bCs/>
          <w:sz w:val="24"/>
          <w:szCs w:val="24"/>
        </w:rPr>
        <w:t>Příčina je multifaktoriální,</w:t>
      </w:r>
      <w:r w:rsidRPr="00F85D01">
        <w:rPr>
          <w:rFonts w:ascii="Times New Roman" w:hAnsi="Times New Roman" w:cs="Times New Roman"/>
          <w:bCs/>
          <w:sz w:val="24"/>
          <w:szCs w:val="24"/>
        </w:rPr>
        <w:t xml:space="preserve"> dochází k intrahepatální cholestáze blokádou enterohepatálního oběhu žlučových kyselin</w:t>
      </w:r>
      <w:r w:rsidR="00BA60CC">
        <w:rPr>
          <w:rFonts w:ascii="Times New Roman" w:hAnsi="Times New Roman" w:cs="Times New Roman"/>
          <w:bCs/>
          <w:sz w:val="24"/>
          <w:szCs w:val="24"/>
        </w:rPr>
        <w:t xml:space="preserve"> a oblenění aktivity enzymů GIT pro téměř nulovou stimulaci</w:t>
      </w:r>
      <w:r w:rsidR="0056244E">
        <w:rPr>
          <w:rFonts w:ascii="Times New Roman" w:hAnsi="Times New Roman" w:cs="Times New Roman"/>
          <w:bCs/>
          <w:sz w:val="24"/>
          <w:szCs w:val="24"/>
        </w:rPr>
        <w:t xml:space="preserve">, </w:t>
      </w:r>
      <w:r w:rsidR="005D1ECC">
        <w:rPr>
          <w:rFonts w:ascii="Times New Roman" w:hAnsi="Times New Roman" w:cs="Times New Roman"/>
          <w:bCs/>
          <w:sz w:val="24"/>
          <w:szCs w:val="24"/>
        </w:rPr>
        <w:t xml:space="preserve">dalším faktorem je </w:t>
      </w:r>
      <w:r w:rsidR="0056244E">
        <w:rPr>
          <w:rFonts w:ascii="Times New Roman" w:hAnsi="Times New Roman" w:cs="Times New Roman"/>
          <w:bCs/>
          <w:sz w:val="24"/>
          <w:szCs w:val="24"/>
        </w:rPr>
        <w:t>možná bakteriální translokace z lumen střeva, deplece mikronutrientů</w:t>
      </w:r>
      <w:r w:rsidR="005D1ECC">
        <w:rPr>
          <w:rFonts w:ascii="Times New Roman" w:hAnsi="Times New Roman" w:cs="Times New Roman"/>
          <w:bCs/>
          <w:sz w:val="24"/>
          <w:szCs w:val="24"/>
        </w:rPr>
        <w:t xml:space="preserve"> a protektivních látek jako je například cholín a naopak přítomnost toxických látek v podávané parenterální výživě</w:t>
      </w:r>
      <w:r w:rsidR="0056244E">
        <w:rPr>
          <w:rFonts w:ascii="Times New Roman" w:hAnsi="Times New Roman" w:cs="Times New Roman"/>
          <w:bCs/>
          <w:sz w:val="24"/>
          <w:szCs w:val="24"/>
        </w:rPr>
        <w:t>.</w:t>
      </w:r>
      <w:r w:rsidR="005D1ECC">
        <w:rPr>
          <w:rFonts w:ascii="Times New Roman" w:hAnsi="Times New Roman" w:cs="Times New Roman"/>
          <w:bCs/>
          <w:sz w:val="24"/>
          <w:szCs w:val="24"/>
        </w:rPr>
        <w:t xml:space="preserve"> Progrese tohoto hepatálního poškození bývá limitující pro další parenterální výživu a je indikací ke kombinované hepatointestinální transplantaci, jak bylo uvedeno shora.</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Cs/>
          <w:sz w:val="24"/>
          <w:szCs w:val="24"/>
        </w:rPr>
        <w:t xml:space="preserve">Pro monitoraci </w:t>
      </w:r>
      <w:r w:rsidRPr="00F85D01">
        <w:rPr>
          <w:rFonts w:ascii="Times New Roman" w:hAnsi="Times New Roman" w:cs="Times New Roman"/>
          <w:b/>
          <w:bCs/>
          <w:sz w:val="24"/>
          <w:szCs w:val="24"/>
        </w:rPr>
        <w:t>funkce pankreatu</w:t>
      </w:r>
      <w:r w:rsidRPr="00F85D01">
        <w:rPr>
          <w:rFonts w:ascii="Times New Roman" w:hAnsi="Times New Roman" w:cs="Times New Roman"/>
          <w:bCs/>
          <w:sz w:val="24"/>
          <w:szCs w:val="24"/>
        </w:rPr>
        <w:t xml:space="preserve"> volíme pro větší specifitu spíše pankreatickou amylázu. Lze ji stanovit v krvi, moči, případně v drénu či výpotku. Stanovení lipázy je prioritní při nemožnosti stanovit pankreatickou amylázu. </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Cs/>
          <w:sz w:val="24"/>
          <w:szCs w:val="24"/>
        </w:rPr>
        <w:t xml:space="preserve">K monitoraci </w:t>
      </w:r>
      <w:r w:rsidRPr="00F85D01">
        <w:rPr>
          <w:rFonts w:ascii="Times New Roman" w:hAnsi="Times New Roman" w:cs="Times New Roman"/>
          <w:b/>
          <w:bCs/>
          <w:sz w:val="24"/>
          <w:szCs w:val="24"/>
        </w:rPr>
        <w:t>funkce střeva</w:t>
      </w:r>
      <w:r w:rsidRPr="00F85D01">
        <w:rPr>
          <w:rFonts w:ascii="Times New Roman" w:hAnsi="Times New Roman" w:cs="Times New Roman"/>
          <w:bCs/>
          <w:sz w:val="24"/>
          <w:szCs w:val="24"/>
        </w:rPr>
        <w:t xml:space="preserve"> a jeho perfúze, bohužel moc dostupných, rutinně proveditelných možností nemáme. </w:t>
      </w:r>
      <w:r w:rsidR="00F94FC4">
        <w:rPr>
          <w:rFonts w:ascii="Times New Roman" w:hAnsi="Times New Roman" w:cs="Times New Roman"/>
          <w:bCs/>
          <w:sz w:val="24"/>
          <w:szCs w:val="24"/>
        </w:rPr>
        <w:t xml:space="preserve">Při těžké hypoperfuzi můžeme zaznamenat vyšší hladiny laktátu. </w:t>
      </w:r>
      <w:r w:rsidRPr="00F85D01">
        <w:rPr>
          <w:rFonts w:ascii="Times New Roman" w:hAnsi="Times New Roman" w:cs="Times New Roman"/>
          <w:bCs/>
          <w:sz w:val="24"/>
          <w:szCs w:val="24"/>
        </w:rPr>
        <w:t>Snad přinese posun vyšetření citrulinu. Opakovaně byla prokázána korelace jeho plazmatické hladiny s funkční masou enterocytů.</w:t>
      </w:r>
      <w:r w:rsidR="009033D8">
        <w:rPr>
          <w:rFonts w:ascii="Times New Roman" w:hAnsi="Times New Roman" w:cs="Times New Roman"/>
          <w:bCs/>
          <w:sz w:val="24"/>
          <w:szCs w:val="24"/>
        </w:rPr>
        <w:t xml:space="preserve"> Pro posouzení odhojování, či rozvoje zánětlivých afekcí štěpu by mohlo pomoci vyšetření fekálního kalprotektinu. Více je tato problematika rozebrána v samostatné kapitole.</w:t>
      </w:r>
    </w:p>
    <w:p w:rsidR="009033D8" w:rsidRPr="00C20695" w:rsidRDefault="00C20695" w:rsidP="009033D8">
      <w:pPr>
        <w:spacing w:line="360" w:lineRule="auto"/>
        <w:rPr>
          <w:rFonts w:ascii="Times New Roman" w:hAnsi="Times New Roman" w:cs="Times New Roman"/>
          <w:bCs/>
          <w:sz w:val="24"/>
          <w:szCs w:val="24"/>
        </w:rPr>
      </w:pPr>
      <w:r w:rsidRPr="00F85D01">
        <w:rPr>
          <w:rFonts w:ascii="Times New Roman" w:hAnsi="Times New Roman" w:cs="Times New Roman"/>
          <w:b/>
          <w:bCs/>
          <w:sz w:val="24"/>
          <w:szCs w:val="24"/>
        </w:rPr>
        <w:lastRenderedPageBreak/>
        <w:t xml:space="preserve">Cholesterol, </w:t>
      </w:r>
      <w:r w:rsidRPr="009033D8">
        <w:rPr>
          <w:rFonts w:ascii="Times New Roman" w:hAnsi="Times New Roman" w:cs="Times New Roman"/>
          <w:b/>
          <w:bCs/>
          <w:sz w:val="24"/>
          <w:szCs w:val="24"/>
        </w:rPr>
        <w:t>triacylglyceroly</w:t>
      </w:r>
      <w:r w:rsidRPr="00F85D01">
        <w:rPr>
          <w:rFonts w:ascii="Times New Roman" w:hAnsi="Times New Roman" w:cs="Times New Roman"/>
          <w:b/>
          <w:bCs/>
          <w:sz w:val="24"/>
          <w:szCs w:val="24"/>
        </w:rPr>
        <w:t xml:space="preserve">, glukóza. </w:t>
      </w:r>
      <w:r w:rsidRPr="00F85D01">
        <w:rPr>
          <w:rFonts w:ascii="Times New Roman" w:hAnsi="Times New Roman" w:cs="Times New Roman"/>
          <w:bCs/>
          <w:sz w:val="24"/>
          <w:szCs w:val="24"/>
        </w:rPr>
        <w:t>Tyto metabolické ukazatele lze použít k posouzení metabolické kompenzace a jisté hotovosti organismu</w:t>
      </w:r>
      <w:r w:rsidR="009033D8">
        <w:rPr>
          <w:rFonts w:ascii="Times New Roman" w:hAnsi="Times New Roman" w:cs="Times New Roman"/>
          <w:bCs/>
          <w:sz w:val="24"/>
          <w:szCs w:val="24"/>
        </w:rPr>
        <w:t>.</w:t>
      </w:r>
      <w:r w:rsidR="00724278">
        <w:rPr>
          <w:rFonts w:ascii="Times New Roman" w:hAnsi="Times New Roman" w:cs="Times New Roman"/>
          <w:bCs/>
          <w:sz w:val="24"/>
          <w:szCs w:val="24"/>
        </w:rPr>
        <w:t xml:space="preserve"> </w:t>
      </w:r>
      <w:r w:rsidRPr="00F85D01">
        <w:rPr>
          <w:rFonts w:ascii="Times New Roman" w:hAnsi="Times New Roman" w:cs="Times New Roman"/>
          <w:bCs/>
          <w:sz w:val="24"/>
          <w:szCs w:val="24"/>
        </w:rPr>
        <w:t xml:space="preserve">Hodnotu </w:t>
      </w:r>
      <w:r w:rsidRPr="009033D8">
        <w:rPr>
          <w:rFonts w:ascii="Times New Roman" w:hAnsi="Times New Roman" w:cs="Times New Roman"/>
          <w:bCs/>
          <w:sz w:val="24"/>
          <w:szCs w:val="24"/>
        </w:rPr>
        <w:t>triacylglycerolů</w:t>
      </w:r>
      <w:r w:rsidRPr="00F85D01">
        <w:rPr>
          <w:rFonts w:ascii="Times New Roman" w:hAnsi="Times New Roman" w:cs="Times New Roman"/>
          <w:bCs/>
          <w:sz w:val="24"/>
          <w:szCs w:val="24"/>
        </w:rPr>
        <w:t xml:space="preserve"> sledujeme u pacientů, kteří dostávají parenterálně lipidy. Zde je výrobcem udána kontraindikace podání při koncentraci nad 3 mmol/l.</w:t>
      </w:r>
      <w:r w:rsidR="009033D8">
        <w:rPr>
          <w:rFonts w:ascii="Times New Roman" w:hAnsi="Times New Roman" w:cs="Times New Roman"/>
          <w:bCs/>
          <w:sz w:val="24"/>
          <w:szCs w:val="24"/>
        </w:rPr>
        <w:t xml:space="preserve"> </w:t>
      </w:r>
    </w:p>
    <w:p w:rsidR="00C20695" w:rsidRPr="00F85D01" w:rsidRDefault="009033D8" w:rsidP="00F85D01">
      <w:pPr>
        <w:spacing w:line="360" w:lineRule="auto"/>
        <w:rPr>
          <w:rFonts w:ascii="Times New Roman" w:hAnsi="Times New Roman" w:cs="Times New Roman"/>
          <w:bCs/>
          <w:sz w:val="24"/>
          <w:szCs w:val="24"/>
        </w:rPr>
      </w:pPr>
      <w:r>
        <w:rPr>
          <w:rFonts w:ascii="Times New Roman" w:hAnsi="Times New Roman" w:cs="Times New Roman"/>
          <w:bCs/>
          <w:sz w:val="24"/>
          <w:szCs w:val="24"/>
        </w:rPr>
        <w:t>Snížené hodnoty cholesterolu v dalších postransplantačních fázích mohou signalizovat malabsorbci tuků. Hodnota HDL cholesterolu celkem přiléhavě popisuje tíži stavu a opakovaně byla v tomto kontextu referována u kriticky nemocných.</w:t>
      </w:r>
      <w:r w:rsidR="00724278" w:rsidRPr="00724278">
        <w:rPr>
          <w:rFonts w:ascii="Times New Roman" w:hAnsi="Times New Roman" w:cs="Times New Roman"/>
          <w:bCs/>
          <w:sz w:val="24"/>
          <w:szCs w:val="24"/>
        </w:rPr>
        <w:t xml:space="preserve"> </w:t>
      </w:r>
      <w:r w:rsidR="00724278">
        <w:rPr>
          <w:rFonts w:ascii="Times New Roman" w:hAnsi="Times New Roman" w:cs="Times New Roman"/>
          <w:bCs/>
          <w:sz w:val="24"/>
          <w:szCs w:val="24"/>
        </w:rPr>
        <w:t>Monitoraci hladin glykémie, glykovaného hemoglobinu a tuků indikujeme v dlouhodobé potransplantační fázi u pacientů s rizikem vzniku potransplantačního diabetu melitu a hyperlipidémií.</w:t>
      </w:r>
      <w:r w:rsidR="00724278" w:rsidRPr="00F85D0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C20695" w:rsidRPr="00F85D01" w:rsidRDefault="00724278" w:rsidP="00F85D01">
      <w:pPr>
        <w:spacing w:line="360" w:lineRule="auto"/>
        <w:rPr>
          <w:rFonts w:ascii="Times New Roman" w:hAnsi="Times New Roman" w:cs="Times New Roman"/>
          <w:bCs/>
          <w:sz w:val="24"/>
          <w:szCs w:val="24"/>
        </w:rPr>
      </w:pPr>
      <w:r w:rsidRPr="00724278">
        <w:rPr>
          <w:rFonts w:ascii="Times New Roman" w:hAnsi="Times New Roman" w:cs="Times New Roman"/>
          <w:b/>
          <w:bCs/>
          <w:sz w:val="24"/>
          <w:szCs w:val="24"/>
        </w:rPr>
        <w:t>Hodnocení přítomnosti malnutrice</w:t>
      </w:r>
      <w:r>
        <w:rPr>
          <w:rFonts w:ascii="Times New Roman" w:hAnsi="Times New Roman" w:cs="Times New Roman"/>
          <w:bCs/>
          <w:sz w:val="24"/>
          <w:szCs w:val="24"/>
        </w:rPr>
        <w:t xml:space="preserve">. </w:t>
      </w:r>
      <w:r w:rsidR="00C20695" w:rsidRPr="00F85D01">
        <w:rPr>
          <w:rFonts w:ascii="Times New Roman" w:hAnsi="Times New Roman" w:cs="Times New Roman"/>
          <w:bCs/>
          <w:sz w:val="24"/>
          <w:szCs w:val="24"/>
        </w:rPr>
        <w:t>Při samotném hodnocení biochemických markerů je třeba si uvědomit, jaký je aktuální metabolický stav pacienta. Zda se jedná o malnutrici při prostém hladovění, o stresovou malnutrici při zánětu či o malnutrici spojenou s nádorovým onemocněním. Ve zmíněných případech se jedná o odlišné metabolické podmínky, dochází k aktivaci a zatížení různých metabolických tras se všemi patofyziologickými konsekvencemi. V prvním případě je snížená hladina inzulinu, dochází k lipolýze, štěpí se glykogen, uvolňují se ketolátky. V druhém případě vlivem zvýšené produkce cytokinů a stresových hormonů dochází k inzulinorezistenci, zvyšuje se glukoneogen</w:t>
      </w:r>
      <w:r w:rsidR="00695361">
        <w:rPr>
          <w:rFonts w:ascii="Times New Roman" w:hAnsi="Times New Roman" w:cs="Times New Roman"/>
          <w:bCs/>
          <w:sz w:val="24"/>
          <w:szCs w:val="24"/>
        </w:rPr>
        <w:t>e</w:t>
      </w:r>
      <w:r w:rsidR="00C20695" w:rsidRPr="00F85D01">
        <w:rPr>
          <w:rFonts w:ascii="Times New Roman" w:hAnsi="Times New Roman" w:cs="Times New Roman"/>
          <w:bCs/>
          <w:sz w:val="24"/>
          <w:szCs w:val="24"/>
        </w:rPr>
        <w:t>za jak z aminokyselin (alanin do Coriho cyklu), tak z laktátu a zvyšuje se také glykolýza. Dochází tedy k velkým ztrátám bílkovin, zvyšuje se glyk</w:t>
      </w:r>
      <w:r w:rsidR="00F94FC4">
        <w:rPr>
          <w:rFonts w:ascii="Times New Roman" w:hAnsi="Times New Roman" w:cs="Times New Roman"/>
          <w:bCs/>
          <w:sz w:val="24"/>
          <w:szCs w:val="24"/>
        </w:rPr>
        <w:t>é</w:t>
      </w:r>
      <w:r w:rsidR="00C20695" w:rsidRPr="00F85D01">
        <w:rPr>
          <w:rFonts w:ascii="Times New Roman" w:hAnsi="Times New Roman" w:cs="Times New Roman"/>
          <w:bCs/>
          <w:sz w:val="24"/>
          <w:szCs w:val="24"/>
        </w:rPr>
        <w:t>mie i laktát. Tato metabolická odpověď je v současné době považována za obrannou reakci organismu a vyšší glykemie a laktát jsou jakousi metabolickou hotovostí. Při nádorové kachexii se zvyšuje aktivita glykolytických enzymů – je známá nádorová izoforma pyruvátkinázy, což může vést k vyšší laktat</w:t>
      </w:r>
      <w:r w:rsidR="00695361">
        <w:rPr>
          <w:rFonts w:ascii="Times New Roman" w:hAnsi="Times New Roman" w:cs="Times New Roman"/>
          <w:bCs/>
          <w:sz w:val="24"/>
          <w:szCs w:val="24"/>
        </w:rPr>
        <w:t>é</w:t>
      </w:r>
      <w:r w:rsidR="00C20695" w:rsidRPr="00F85D01">
        <w:rPr>
          <w:rFonts w:ascii="Times New Roman" w:hAnsi="Times New Roman" w:cs="Times New Roman"/>
          <w:bCs/>
          <w:sz w:val="24"/>
          <w:szCs w:val="24"/>
        </w:rPr>
        <w:t xml:space="preserve">mii, je též vysoký obrat purinu a pyrimidinu. </w:t>
      </w:r>
    </w:p>
    <w:p w:rsidR="00C20695" w:rsidRPr="00F85D01" w:rsidRDefault="00C20695" w:rsidP="00F85D01">
      <w:pPr>
        <w:spacing w:line="360" w:lineRule="auto"/>
        <w:rPr>
          <w:rFonts w:ascii="Times New Roman" w:hAnsi="Times New Roman" w:cs="Times New Roman"/>
          <w:bCs/>
          <w:sz w:val="24"/>
          <w:szCs w:val="24"/>
        </w:rPr>
      </w:pPr>
      <w:r w:rsidRPr="00F85D01">
        <w:rPr>
          <w:rFonts w:ascii="Times New Roman" w:hAnsi="Times New Roman" w:cs="Times New Roman"/>
          <w:bCs/>
          <w:sz w:val="24"/>
          <w:szCs w:val="24"/>
        </w:rPr>
        <w:t>Tyto zhruba načrtnuté konsekvence je třeba brát v potaz při interpretaci zjištěných hodnot a rozhodování o dalším léčebném postupu.</w:t>
      </w:r>
    </w:p>
    <w:p w:rsidR="00C20695" w:rsidRPr="00724278" w:rsidRDefault="00C20695" w:rsidP="00F85D01">
      <w:pPr>
        <w:spacing w:line="360" w:lineRule="auto"/>
        <w:rPr>
          <w:rFonts w:ascii="Times New Roman" w:hAnsi="Times New Roman" w:cs="Times New Roman"/>
          <w:bCs/>
          <w:sz w:val="24"/>
          <w:szCs w:val="24"/>
        </w:rPr>
      </w:pPr>
      <w:r w:rsidRPr="00724278">
        <w:rPr>
          <w:rFonts w:ascii="Times New Roman" w:hAnsi="Times New Roman" w:cs="Times New Roman"/>
          <w:bCs/>
          <w:sz w:val="24"/>
          <w:szCs w:val="24"/>
        </w:rPr>
        <w:t>Pro úspěšnou léčbu malnutrice je zásadní její včasná diagnostika. K té používáme jednak nutriční screening a současně objektivní hodnocení výživy (assessment), jehož součástí, vedle antropometrických a anamnestických údajů, je i laboratorní vyšetření. Tato stať je zaměřena na biochemický monitoring.</w:t>
      </w:r>
      <w:r w:rsidRPr="00F85D01">
        <w:rPr>
          <w:rFonts w:ascii="Times New Roman" w:hAnsi="Times New Roman" w:cs="Times New Roman"/>
          <w:b/>
          <w:bCs/>
          <w:sz w:val="24"/>
          <w:szCs w:val="24"/>
        </w:rPr>
        <w:t xml:space="preserve"> </w:t>
      </w:r>
      <w:r w:rsidRPr="00724278">
        <w:rPr>
          <w:rFonts w:ascii="Times New Roman" w:hAnsi="Times New Roman" w:cs="Times New Roman"/>
          <w:bCs/>
          <w:sz w:val="24"/>
          <w:szCs w:val="24"/>
        </w:rPr>
        <w:t>V současné době se připravují nová guidelines ESPEN, kde je diskutován hlavně výběr parametrů pro diagnostiku malnutrice. Laboratorní markery, dříve běžně zařazované do hodnotících schémat, jsou nyní posuzovány jako méně specifické. Přesto jsou v textu uvedeny pro jejich častou indikaci i s vysvětlujícím kontextem.</w:t>
      </w:r>
    </w:p>
    <w:p w:rsidR="00C20695" w:rsidRPr="00F85D01" w:rsidRDefault="00C20695" w:rsidP="00F85D01">
      <w:pPr>
        <w:spacing w:line="360" w:lineRule="auto"/>
        <w:rPr>
          <w:rFonts w:ascii="Times New Roman" w:hAnsi="Times New Roman" w:cs="Times New Roman"/>
          <w:bCs/>
          <w:sz w:val="24"/>
          <w:szCs w:val="24"/>
        </w:rPr>
      </w:pPr>
    </w:p>
    <w:p w:rsidR="00C20695" w:rsidRPr="00C20695" w:rsidRDefault="00C20695" w:rsidP="00724278">
      <w:pPr>
        <w:spacing w:line="360" w:lineRule="auto"/>
        <w:rPr>
          <w:rFonts w:ascii="Times New Roman" w:hAnsi="Times New Roman" w:cs="Times New Roman"/>
          <w:bCs/>
          <w:sz w:val="24"/>
          <w:szCs w:val="24"/>
        </w:rPr>
      </w:pPr>
      <w:r w:rsidRPr="00C20695">
        <w:rPr>
          <w:rFonts w:ascii="Times New Roman" w:hAnsi="Times New Roman" w:cs="Times New Roman"/>
          <w:b/>
          <w:bCs/>
          <w:sz w:val="24"/>
          <w:szCs w:val="24"/>
        </w:rPr>
        <w:t>Albumin</w:t>
      </w:r>
      <w:r w:rsidRPr="00C20695">
        <w:rPr>
          <w:rFonts w:ascii="Times New Roman" w:hAnsi="Times New Roman" w:cs="Times New Roman"/>
          <w:bCs/>
          <w:sz w:val="24"/>
          <w:szCs w:val="24"/>
        </w:rPr>
        <w:t xml:space="preserve"> je nejvíce zastoupený plazmatický protein s významnými vlastnostmi (vazebný protein osmoticky aktivní, působí antioxidačně i jako pufr). Jeho snížená plazmatická hladina pod 30 g/l byla v minulosti asi nejfrekventovanějším markerem malnutrice. </w:t>
      </w:r>
    </w:p>
    <w:p w:rsidR="00C20695" w:rsidRPr="00C20695" w:rsidRDefault="00C20695" w:rsidP="00724278">
      <w:pPr>
        <w:spacing w:line="360" w:lineRule="auto"/>
        <w:rPr>
          <w:rFonts w:ascii="Times New Roman" w:hAnsi="Times New Roman" w:cs="Times New Roman"/>
          <w:bCs/>
          <w:sz w:val="24"/>
          <w:szCs w:val="24"/>
        </w:rPr>
      </w:pPr>
      <w:r w:rsidRPr="00C20695">
        <w:rPr>
          <w:rFonts w:ascii="Times New Roman" w:hAnsi="Times New Roman" w:cs="Times New Roman"/>
          <w:bCs/>
          <w:sz w:val="24"/>
          <w:szCs w:val="24"/>
        </w:rPr>
        <w:t>Při hodnocení plazmatické hladiny albuminu nutno brát v potaz přítomnost akutního zánětu, kdy dochází v rámci celkové odpovědi organismu k </w:t>
      </w:r>
      <w:r w:rsidR="00695361" w:rsidRPr="00C20695">
        <w:rPr>
          <w:rFonts w:ascii="Times New Roman" w:hAnsi="Times New Roman" w:cs="Times New Roman"/>
          <w:bCs/>
          <w:sz w:val="24"/>
          <w:szCs w:val="24"/>
        </w:rPr>
        <w:t xml:space="preserve"> </w:t>
      </w:r>
      <w:r w:rsidRPr="00C20695">
        <w:rPr>
          <w:rFonts w:ascii="Times New Roman" w:hAnsi="Times New Roman" w:cs="Times New Roman"/>
          <w:bCs/>
          <w:sz w:val="24"/>
          <w:szCs w:val="24"/>
        </w:rPr>
        <w:t>úniku plazmatických bílkovin do intersticia. Výsledkem je pokles hladiny albuminu v intravaskulárním prostoru. Na poklesu se podílí nejen diluce a přesun do jiných kompartmentů, ale i zvýšená degradace albuminu v těchto stavech. A tak prudký pokles albuminu u kriticky nemocných referuje spíše o tíži stavu než o stupni malnutrice. Proto se jeho koncentrace hodí spíše pro hodnocení stavů chronické malnutrice bez přítomnosti zánětu. A to i vzhledem k jeho poměrně dlouhému biologickému poločasu 21 dní.</w:t>
      </w:r>
    </w:p>
    <w:p w:rsidR="00C20695" w:rsidRPr="00C20695" w:rsidRDefault="00C20695" w:rsidP="00724278">
      <w:pPr>
        <w:spacing w:line="360" w:lineRule="auto"/>
        <w:rPr>
          <w:rFonts w:ascii="Times New Roman" w:hAnsi="Times New Roman" w:cs="Times New Roman"/>
          <w:bCs/>
          <w:sz w:val="24"/>
          <w:szCs w:val="24"/>
        </w:rPr>
      </w:pPr>
      <w:r w:rsidRPr="00C20695">
        <w:rPr>
          <w:rFonts w:ascii="Times New Roman" w:hAnsi="Times New Roman" w:cs="Times New Roman"/>
          <w:b/>
          <w:bCs/>
          <w:sz w:val="24"/>
          <w:szCs w:val="24"/>
        </w:rPr>
        <w:t>Prealbumin</w:t>
      </w:r>
      <w:r w:rsidRPr="00C20695">
        <w:rPr>
          <w:rFonts w:ascii="Times New Roman" w:hAnsi="Times New Roman" w:cs="Times New Roman"/>
          <w:bCs/>
          <w:sz w:val="24"/>
          <w:szCs w:val="24"/>
        </w:rPr>
        <w:t xml:space="preserve"> má oproti albuminu výrazně kratší poločas – 1,5 dne, zejména proto byl považován za vhodnější marker malnutrice u pacientů v kritickém stavu. Platí pro něj však stejné omezení stran přesunu do jiných kompartmentů. Proto se při jeho hodnocení uvádí, že při hodnotách CRP </w:t>
      </w:r>
      <w:r w:rsidRPr="00C20695">
        <w:rPr>
          <w:rFonts w:ascii="Times New Roman" w:hAnsi="Times New Roman" w:cs="Times New Roman"/>
          <w:bCs/>
          <w:sz w:val="24"/>
          <w:szCs w:val="24"/>
          <w:lang w:val="en-US"/>
        </w:rPr>
        <w:t>&lt;</w:t>
      </w:r>
      <w:r w:rsidRPr="00C20695">
        <w:rPr>
          <w:rFonts w:ascii="Times New Roman" w:hAnsi="Times New Roman" w:cs="Times New Roman"/>
          <w:bCs/>
          <w:sz w:val="24"/>
          <w:szCs w:val="24"/>
        </w:rPr>
        <w:t xml:space="preserve"> 5 mg/l je lepším markerem než albumin, ale při CRP nad 5 mg/l je jeho použitelnost horší, vzhledem k tomu, že v tomto stavu je jeho tvorba suprimována cytokiny. Upozorňuje však na přítomnost malnutrice indukované zánětem.</w:t>
      </w:r>
      <w:r w:rsidR="00695361">
        <w:rPr>
          <w:rFonts w:ascii="Times New Roman" w:hAnsi="Times New Roman" w:cs="Times New Roman"/>
          <w:bCs/>
          <w:sz w:val="24"/>
          <w:szCs w:val="24"/>
        </w:rPr>
        <w:t xml:space="preserve"> Je třeba upozornit na neadekvátní supranormální hladiny prealbuminu u kriticky nemocných s imunosupresivní léčbou cyklosporinem. Zde se jedná pravděpodobně o interferenci a není v těchto stavech možné brát prealbumin jako hodnotný marker proteosyntézy.</w:t>
      </w:r>
    </w:p>
    <w:p w:rsidR="00C20695" w:rsidRPr="00C20695" w:rsidRDefault="00C20695" w:rsidP="00695361">
      <w:pPr>
        <w:spacing w:line="360" w:lineRule="auto"/>
        <w:rPr>
          <w:rFonts w:ascii="Times New Roman" w:hAnsi="Times New Roman" w:cs="Times New Roman"/>
          <w:bCs/>
          <w:sz w:val="24"/>
          <w:szCs w:val="24"/>
        </w:rPr>
      </w:pPr>
      <w:r w:rsidRPr="00C20695">
        <w:rPr>
          <w:rFonts w:ascii="Times New Roman" w:hAnsi="Times New Roman" w:cs="Times New Roman"/>
          <w:b/>
          <w:bCs/>
          <w:sz w:val="24"/>
          <w:szCs w:val="24"/>
        </w:rPr>
        <w:t xml:space="preserve">Cholinesteráza, transferin </w:t>
      </w:r>
      <w:r w:rsidRPr="00C20695">
        <w:rPr>
          <w:rFonts w:ascii="Times New Roman" w:hAnsi="Times New Roman" w:cs="Times New Roman"/>
          <w:bCs/>
          <w:sz w:val="24"/>
          <w:szCs w:val="24"/>
        </w:rPr>
        <w:t>a</w:t>
      </w:r>
      <w:r w:rsidRPr="00C20695">
        <w:rPr>
          <w:rFonts w:ascii="Times New Roman" w:hAnsi="Times New Roman" w:cs="Times New Roman"/>
          <w:b/>
          <w:bCs/>
          <w:sz w:val="24"/>
          <w:szCs w:val="24"/>
        </w:rPr>
        <w:t xml:space="preserve"> retinol-binding protein </w:t>
      </w:r>
      <w:r w:rsidRPr="0034659A">
        <w:rPr>
          <w:rFonts w:ascii="Times New Roman" w:hAnsi="Times New Roman" w:cs="Times New Roman"/>
          <w:b/>
          <w:bCs/>
          <w:sz w:val="24"/>
          <w:szCs w:val="24"/>
        </w:rPr>
        <w:t>(RBP)</w:t>
      </w:r>
      <w:r w:rsidRPr="00C20695">
        <w:rPr>
          <w:rFonts w:ascii="Times New Roman" w:hAnsi="Times New Roman" w:cs="Times New Roman"/>
          <w:bCs/>
          <w:sz w:val="24"/>
          <w:szCs w:val="24"/>
        </w:rPr>
        <w:t xml:space="preserve"> se pro nespecifitu či obtížné stanovení používají méně. </w:t>
      </w:r>
    </w:p>
    <w:p w:rsidR="00C20695" w:rsidRPr="00C20695" w:rsidRDefault="00C20695" w:rsidP="00695361">
      <w:pPr>
        <w:spacing w:line="360" w:lineRule="auto"/>
        <w:rPr>
          <w:rFonts w:ascii="Times New Roman" w:hAnsi="Times New Roman" w:cs="Times New Roman"/>
          <w:bCs/>
          <w:sz w:val="24"/>
          <w:szCs w:val="24"/>
        </w:rPr>
      </w:pPr>
    </w:p>
    <w:p w:rsidR="00C20695" w:rsidRPr="0034659A" w:rsidRDefault="00C20695" w:rsidP="0034659A">
      <w:pPr>
        <w:spacing w:line="360" w:lineRule="auto"/>
        <w:rPr>
          <w:rFonts w:ascii="Times New Roman" w:hAnsi="Times New Roman" w:cs="Times New Roman"/>
          <w:b/>
          <w:bCs/>
          <w:sz w:val="24"/>
          <w:szCs w:val="24"/>
        </w:rPr>
      </w:pPr>
      <w:r w:rsidRPr="0034659A">
        <w:rPr>
          <w:rFonts w:ascii="Times New Roman" w:hAnsi="Times New Roman" w:cs="Times New Roman"/>
          <w:b/>
          <w:bCs/>
          <w:sz w:val="24"/>
          <w:szCs w:val="24"/>
        </w:rPr>
        <w:t xml:space="preserve">Markery zánětu </w:t>
      </w:r>
    </w:p>
    <w:p w:rsidR="00C20695" w:rsidRPr="0034659A" w:rsidRDefault="00C20695" w:rsidP="0034659A">
      <w:pPr>
        <w:spacing w:line="360" w:lineRule="auto"/>
        <w:rPr>
          <w:rFonts w:ascii="Times New Roman" w:hAnsi="Times New Roman" w:cs="Times New Roman"/>
          <w:bCs/>
          <w:sz w:val="24"/>
          <w:szCs w:val="24"/>
        </w:rPr>
      </w:pPr>
      <w:r w:rsidRPr="0034659A">
        <w:rPr>
          <w:rFonts w:ascii="Times New Roman" w:hAnsi="Times New Roman" w:cs="Times New Roman"/>
          <w:bCs/>
          <w:sz w:val="24"/>
          <w:szCs w:val="24"/>
        </w:rPr>
        <w:t>V souvislosti se stávající nebo hrozící malnutricí je informace o přítomnosti zánětu zásadní. Jak bylo uvedeno výše, zánět nejenže malnutrici prohlubuje, ale je popsán typ malnutrice přímo zánětem způsobené. Časná diagnostika, monitorace průběhu a úspěšnosti léčby zánětu má velký význam pro léčbu samotné malnutrice.</w:t>
      </w:r>
    </w:p>
    <w:p w:rsidR="00C20695" w:rsidRPr="0034659A" w:rsidRDefault="00C20695" w:rsidP="0034659A">
      <w:pPr>
        <w:spacing w:line="360" w:lineRule="auto"/>
        <w:rPr>
          <w:rFonts w:ascii="Times New Roman" w:hAnsi="Times New Roman" w:cs="Times New Roman"/>
          <w:bCs/>
          <w:sz w:val="24"/>
          <w:szCs w:val="24"/>
        </w:rPr>
      </w:pPr>
      <w:r w:rsidRPr="0034659A">
        <w:rPr>
          <w:rFonts w:ascii="Times New Roman" w:hAnsi="Times New Roman" w:cs="Times New Roman"/>
          <w:bCs/>
          <w:sz w:val="24"/>
          <w:szCs w:val="24"/>
        </w:rPr>
        <w:lastRenderedPageBreak/>
        <w:t>Podle patofyziologie zánětu se snažíme najít časné markery, které by co nejpřesněji popisovaly zánětlivou odpověď a byly vhodné pro rutinní stanovení.</w:t>
      </w:r>
      <w:r w:rsidRPr="0034659A">
        <w:rPr>
          <w:rFonts w:ascii="Times New Roman" w:eastAsiaTheme="minorEastAsia" w:hAnsi="Times New Roman" w:cs="Times New Roman"/>
          <w:color w:val="000000" w:themeColor="text1"/>
          <w:kern w:val="24"/>
          <w:sz w:val="24"/>
          <w:szCs w:val="24"/>
        </w:rPr>
        <w:t xml:space="preserve"> </w:t>
      </w:r>
      <w:r w:rsidRPr="0034659A">
        <w:rPr>
          <w:rFonts w:ascii="Times New Roman" w:hAnsi="Times New Roman" w:cs="Times New Roman"/>
          <w:bCs/>
          <w:sz w:val="24"/>
          <w:szCs w:val="24"/>
        </w:rPr>
        <w:t>Tool-like receptory, cytokiny (IL-1, IL-6, TNF.) jsou mediátory odpovědi v prvních minutách. Pro běžné stanovení jsou nedostupné, snad jen IL6 se využívá k diagnostice novorozeneckých sepsí. V dalším kroku dochází k syntéze specifických markerů, jako je PCT, presepsin, CRP a ostatní proteiny akutní fáze. Současně lze sledovat již reakci komplementu, leukocytů, jejich diferenciaci, změny v syntéze koagulačních faktorů. K zánětlivé odpovědi je také zaktivován systém antioxidační ochrany (selen, glutathionperoxidáza).</w:t>
      </w:r>
    </w:p>
    <w:p w:rsidR="00C20695" w:rsidRPr="0034659A" w:rsidRDefault="00C20695" w:rsidP="0034659A">
      <w:pPr>
        <w:spacing w:line="360" w:lineRule="auto"/>
        <w:rPr>
          <w:rFonts w:ascii="Times New Roman" w:hAnsi="Times New Roman" w:cs="Times New Roman"/>
          <w:bCs/>
          <w:sz w:val="24"/>
          <w:szCs w:val="24"/>
        </w:rPr>
      </w:pPr>
      <w:r w:rsidRPr="0034659A">
        <w:rPr>
          <w:rFonts w:ascii="Times New Roman" w:hAnsi="Times New Roman" w:cs="Times New Roman"/>
          <w:bCs/>
          <w:sz w:val="24"/>
          <w:szCs w:val="24"/>
        </w:rPr>
        <w:t>Z uvedeného výčtu vyplývá, že se jedná o komplexní reakci organismu. Markery, které používáme k hodnocení, jsou stále doplňovány, evaluovány a dosud neexistuje „zlatý standart“ pro hodnocení.</w:t>
      </w:r>
    </w:p>
    <w:p w:rsidR="00C20695" w:rsidRPr="0034659A" w:rsidRDefault="00C20695" w:rsidP="0034659A">
      <w:pPr>
        <w:spacing w:line="360" w:lineRule="auto"/>
        <w:rPr>
          <w:rFonts w:ascii="Times New Roman" w:hAnsi="Times New Roman" w:cs="Times New Roman"/>
          <w:bCs/>
          <w:sz w:val="24"/>
          <w:szCs w:val="24"/>
        </w:rPr>
      </w:pPr>
      <w:r w:rsidRPr="0034659A">
        <w:rPr>
          <w:rFonts w:ascii="Times New Roman" w:hAnsi="Times New Roman" w:cs="Times New Roman"/>
          <w:bCs/>
          <w:sz w:val="24"/>
          <w:szCs w:val="24"/>
        </w:rPr>
        <w:t xml:space="preserve">Pro diagnostiku zánětu a prognózu jeho průběhu máme v současné době tyto možnosti: </w:t>
      </w:r>
    </w:p>
    <w:p w:rsidR="00C20695" w:rsidRPr="00F94FC4" w:rsidRDefault="00C20695" w:rsidP="00121908">
      <w:pPr>
        <w:spacing w:line="360" w:lineRule="auto"/>
        <w:rPr>
          <w:rFonts w:ascii="Times New Roman" w:hAnsi="Times New Roman" w:cs="Times New Roman"/>
          <w:b/>
          <w:bCs/>
          <w:sz w:val="24"/>
          <w:szCs w:val="24"/>
        </w:rPr>
      </w:pPr>
      <w:r w:rsidRPr="00121908">
        <w:rPr>
          <w:rFonts w:ascii="Times New Roman" w:hAnsi="Times New Roman" w:cs="Times New Roman"/>
          <w:b/>
          <w:bCs/>
          <w:sz w:val="24"/>
          <w:szCs w:val="24"/>
        </w:rPr>
        <w:t xml:space="preserve">C-reaktivní protein (CRP) </w:t>
      </w:r>
      <w:r w:rsidR="0023130A" w:rsidRPr="00121908">
        <w:rPr>
          <w:rFonts w:ascii="Times New Roman" w:hAnsi="Times New Roman" w:cs="Times New Roman"/>
          <w:bCs/>
          <w:sz w:val="24"/>
          <w:szCs w:val="24"/>
        </w:rPr>
        <w:t>má velkou</w:t>
      </w:r>
      <w:r w:rsidRPr="00121908">
        <w:rPr>
          <w:rFonts w:ascii="Times New Roman" w:hAnsi="Times New Roman" w:cs="Times New Roman"/>
          <w:bCs/>
          <w:sz w:val="24"/>
          <w:szCs w:val="24"/>
        </w:rPr>
        <w:t xml:space="preserve"> senzitivit</w:t>
      </w:r>
      <w:r w:rsidR="0023130A" w:rsidRPr="00121908">
        <w:rPr>
          <w:rFonts w:ascii="Times New Roman" w:hAnsi="Times New Roman" w:cs="Times New Roman"/>
          <w:bCs/>
          <w:sz w:val="24"/>
          <w:szCs w:val="24"/>
        </w:rPr>
        <w:t>u</w:t>
      </w:r>
      <w:r w:rsidRPr="00121908">
        <w:rPr>
          <w:rFonts w:ascii="Times New Roman" w:hAnsi="Times New Roman" w:cs="Times New Roman"/>
          <w:bCs/>
          <w:sz w:val="24"/>
          <w:szCs w:val="24"/>
        </w:rPr>
        <w:t>,</w:t>
      </w:r>
      <w:r w:rsidR="0023130A" w:rsidRPr="00121908">
        <w:rPr>
          <w:rFonts w:ascii="Times New Roman" w:hAnsi="Times New Roman" w:cs="Times New Roman"/>
          <w:bCs/>
          <w:sz w:val="24"/>
          <w:szCs w:val="24"/>
        </w:rPr>
        <w:t xml:space="preserve"> ale</w:t>
      </w:r>
      <w:r w:rsidRPr="00121908">
        <w:rPr>
          <w:rFonts w:ascii="Times New Roman" w:hAnsi="Times New Roman" w:cs="Times New Roman"/>
          <w:bCs/>
          <w:sz w:val="24"/>
          <w:szCs w:val="24"/>
        </w:rPr>
        <w:t xml:space="preserve"> mal</w:t>
      </w:r>
      <w:r w:rsidR="0023130A" w:rsidRPr="00121908">
        <w:rPr>
          <w:rFonts w:ascii="Times New Roman" w:hAnsi="Times New Roman" w:cs="Times New Roman"/>
          <w:bCs/>
          <w:sz w:val="24"/>
          <w:szCs w:val="24"/>
        </w:rPr>
        <w:t>ou</w:t>
      </w:r>
      <w:r w:rsidRPr="00121908">
        <w:rPr>
          <w:rFonts w:ascii="Times New Roman" w:hAnsi="Times New Roman" w:cs="Times New Roman"/>
          <w:bCs/>
          <w:sz w:val="24"/>
          <w:szCs w:val="24"/>
        </w:rPr>
        <w:t xml:space="preserve"> specifi</w:t>
      </w:r>
      <w:r w:rsidR="00F94FC4">
        <w:rPr>
          <w:rFonts w:ascii="Times New Roman" w:hAnsi="Times New Roman" w:cs="Times New Roman"/>
          <w:bCs/>
          <w:sz w:val="24"/>
          <w:szCs w:val="24"/>
        </w:rPr>
        <w:t>t</w:t>
      </w:r>
      <w:r w:rsidRPr="00121908">
        <w:rPr>
          <w:rFonts w:ascii="Times New Roman" w:hAnsi="Times New Roman" w:cs="Times New Roman"/>
          <w:bCs/>
          <w:sz w:val="24"/>
          <w:szCs w:val="24"/>
        </w:rPr>
        <w:t>a pro infekční zánět.</w:t>
      </w:r>
      <w:r w:rsidRPr="00121908">
        <w:rPr>
          <w:rFonts w:ascii="Times New Roman" w:hAnsi="Times New Roman" w:cs="Times New Roman"/>
          <w:b/>
          <w:bCs/>
          <w:sz w:val="24"/>
          <w:szCs w:val="24"/>
        </w:rPr>
        <w:t xml:space="preserve"> </w:t>
      </w:r>
      <w:r w:rsidRPr="00121908">
        <w:rPr>
          <w:rFonts w:ascii="Times New Roman" w:hAnsi="Times New Roman" w:cs="Times New Roman"/>
          <w:bCs/>
          <w:sz w:val="24"/>
          <w:szCs w:val="24"/>
        </w:rPr>
        <w:t>Má rychlou dynamiku, reaguje na změny ATB terapie, při běžném infektu rozliší bakteriální a virový původ,</w:t>
      </w:r>
      <w:r w:rsidRPr="00121908">
        <w:rPr>
          <w:rFonts w:ascii="Times New Roman" w:hAnsi="Times New Roman" w:cs="Times New Roman"/>
          <w:b/>
          <w:bCs/>
          <w:sz w:val="24"/>
          <w:szCs w:val="24"/>
        </w:rPr>
        <w:t xml:space="preserve"> </w:t>
      </w:r>
      <w:r w:rsidRPr="00121908">
        <w:rPr>
          <w:rFonts w:ascii="Times New Roman" w:hAnsi="Times New Roman" w:cs="Times New Roman"/>
          <w:bCs/>
          <w:sz w:val="24"/>
          <w:szCs w:val="24"/>
        </w:rPr>
        <w:t xml:space="preserve">má vysokou negativní predilekci, při normálních hladinách je nepravděpodobná sepse. Dynamika je důležitější než izolovaná hodnota. Nediferencuje typy systémového zánětu, nemá vztah k mortalitě. Sérové hladiny CRP je nutno vždy interpretovat v kontextu s klinikou. </w:t>
      </w:r>
      <w:r w:rsidRPr="00121908">
        <w:rPr>
          <w:rFonts w:ascii="Times New Roman" w:hAnsi="Times New Roman" w:cs="Times New Roman"/>
          <w:b/>
          <w:bCs/>
          <w:sz w:val="24"/>
          <w:szCs w:val="24"/>
        </w:rPr>
        <w:t>Prokalcitonin (PCT)</w:t>
      </w:r>
      <w:r w:rsidRPr="00121908">
        <w:rPr>
          <w:rFonts w:ascii="Times New Roman" w:hAnsi="Times New Roman" w:cs="Times New Roman"/>
          <w:bCs/>
          <w:sz w:val="24"/>
          <w:szCs w:val="24"/>
        </w:rPr>
        <w:t xml:space="preserve"> je nejčastěji používaným markerem časné diagnózy sepse. Při odlišení infekčního od neinfekčního systémového zánětu má na rozdíl od CRP vyšší senzitivitu – 88 % vs. 75 % i specificitu 81% vs. 67 %. Využívá se k hodnocení tíže stavu u bakteriálního zánětu. Dynamika PCT má vztah také k prognóze zánětu. Pomáhá i při indikaci a monitoraci ATB terapie.</w:t>
      </w:r>
      <w:r w:rsidR="0023130A" w:rsidRPr="00121908">
        <w:rPr>
          <w:rFonts w:ascii="Times New Roman" w:hAnsi="Times New Roman" w:cs="Times New Roman"/>
          <w:bCs/>
          <w:sz w:val="24"/>
          <w:szCs w:val="24"/>
        </w:rPr>
        <w:t xml:space="preserve"> Je třeba připomenout možné takzvané neinfekční elevace po terapii antithymocytárním globulinem (ATG) v rámci přípravy před transplantací</w:t>
      </w:r>
      <w:r w:rsidR="00121908" w:rsidRPr="00121908">
        <w:rPr>
          <w:rFonts w:ascii="Times New Roman" w:hAnsi="Times New Roman" w:cs="Times New Roman"/>
          <w:bCs/>
          <w:sz w:val="24"/>
          <w:szCs w:val="24"/>
        </w:rPr>
        <w:t>.</w:t>
      </w:r>
      <w:r w:rsidRPr="00121908">
        <w:rPr>
          <w:rFonts w:ascii="Times New Roman" w:hAnsi="Times New Roman" w:cs="Times New Roman"/>
          <w:bCs/>
          <w:sz w:val="24"/>
          <w:szCs w:val="24"/>
        </w:rPr>
        <w:t xml:space="preserve"> </w:t>
      </w:r>
      <w:r w:rsidRPr="00121908">
        <w:rPr>
          <w:rFonts w:ascii="Times New Roman" w:hAnsi="Times New Roman" w:cs="Times New Roman"/>
          <w:b/>
          <w:bCs/>
          <w:sz w:val="24"/>
          <w:szCs w:val="24"/>
        </w:rPr>
        <w:t>Presepsin (</w:t>
      </w:r>
      <w:r w:rsidRPr="00121908">
        <w:rPr>
          <w:rFonts w:ascii="Times New Roman" w:hAnsi="Times New Roman" w:cs="Times New Roman"/>
          <w:bCs/>
          <w:sz w:val="24"/>
          <w:szCs w:val="24"/>
        </w:rPr>
        <w:t xml:space="preserve">sCD14)- solubilní receptor na monocytech a makrofázích, váže se s lipopolysacharidem (LPS) přes Tool like receptor (TLR 4). Diagnostický marker závažnosti sepse a predikce mortality. </w:t>
      </w:r>
      <w:r w:rsidRPr="00121908">
        <w:rPr>
          <w:rFonts w:ascii="Times New Roman" w:hAnsi="Times New Roman" w:cs="Times New Roman"/>
          <w:b/>
          <w:bCs/>
          <w:sz w:val="24"/>
          <w:szCs w:val="24"/>
        </w:rPr>
        <w:t xml:space="preserve">Leukocyty </w:t>
      </w:r>
      <w:r w:rsidRPr="00121908">
        <w:rPr>
          <w:rFonts w:ascii="Times New Roman" w:hAnsi="Times New Roman" w:cs="Times New Roman"/>
          <w:bCs/>
          <w:sz w:val="24"/>
          <w:szCs w:val="24"/>
        </w:rPr>
        <w:t>představují jeden z nejstarších markerů zánětu. Sledujeme jejich celkový počet (aktivita zánětu, kritéria sepse, imunosuprese?), diferenciální rozpočet</w:t>
      </w:r>
      <w:r w:rsidR="00121908" w:rsidRPr="00121908">
        <w:rPr>
          <w:rFonts w:ascii="Times New Roman" w:hAnsi="Times New Roman" w:cs="Times New Roman"/>
          <w:bCs/>
          <w:sz w:val="24"/>
          <w:szCs w:val="24"/>
        </w:rPr>
        <w:t>,</w:t>
      </w:r>
      <w:r w:rsidRPr="00121908">
        <w:rPr>
          <w:rFonts w:ascii="Times New Roman" w:hAnsi="Times New Roman" w:cs="Times New Roman"/>
          <w:bCs/>
          <w:sz w:val="24"/>
          <w:szCs w:val="24"/>
        </w:rPr>
        <w:t xml:space="preserve"> procent</w:t>
      </w:r>
      <w:r w:rsidR="00121908" w:rsidRPr="00121908">
        <w:rPr>
          <w:rFonts w:ascii="Times New Roman" w:hAnsi="Times New Roman" w:cs="Times New Roman"/>
          <w:bCs/>
          <w:sz w:val="24"/>
          <w:szCs w:val="24"/>
        </w:rPr>
        <w:t>o</w:t>
      </w:r>
      <w:r w:rsidRPr="00121908">
        <w:rPr>
          <w:rFonts w:ascii="Times New Roman" w:hAnsi="Times New Roman" w:cs="Times New Roman"/>
          <w:bCs/>
          <w:sz w:val="24"/>
          <w:szCs w:val="24"/>
        </w:rPr>
        <w:t xml:space="preserve"> neutrofilů, lymfo, mono</w:t>
      </w:r>
      <w:r w:rsidR="00121908" w:rsidRPr="00121908">
        <w:rPr>
          <w:rFonts w:ascii="Times New Roman" w:hAnsi="Times New Roman" w:cs="Times New Roman"/>
          <w:bCs/>
          <w:sz w:val="24"/>
          <w:szCs w:val="24"/>
        </w:rPr>
        <w:t xml:space="preserve"> a vzájemný poměr</w:t>
      </w:r>
      <w:r w:rsidRPr="00121908">
        <w:rPr>
          <w:rFonts w:ascii="Times New Roman" w:hAnsi="Times New Roman" w:cs="Times New Roman"/>
          <w:bCs/>
          <w:sz w:val="24"/>
          <w:szCs w:val="24"/>
        </w:rPr>
        <w:t>. Z hlediska možné malnutrice sledujeme také absolutní počet lymfocytů. V poslední době je zmiňována role nezralých</w:t>
      </w:r>
      <w:r w:rsidR="00121908" w:rsidRPr="00121908">
        <w:rPr>
          <w:rFonts w:ascii="Times New Roman" w:hAnsi="Times New Roman" w:cs="Times New Roman"/>
          <w:bCs/>
          <w:sz w:val="24"/>
          <w:szCs w:val="24"/>
        </w:rPr>
        <w:t>,</w:t>
      </w:r>
      <w:r w:rsidRPr="00121908">
        <w:rPr>
          <w:rFonts w:ascii="Times New Roman" w:hAnsi="Times New Roman" w:cs="Times New Roman"/>
          <w:bCs/>
          <w:sz w:val="24"/>
          <w:szCs w:val="24"/>
        </w:rPr>
        <w:t xml:space="preserve"> immaturovaných granulocytů</w:t>
      </w:r>
      <w:r w:rsidR="00121908" w:rsidRPr="00121908">
        <w:rPr>
          <w:rFonts w:ascii="Times New Roman" w:hAnsi="Times New Roman" w:cs="Times New Roman"/>
          <w:bCs/>
          <w:sz w:val="24"/>
          <w:szCs w:val="24"/>
        </w:rPr>
        <w:t xml:space="preserve">, při zvýšeném vyplavení do periférie je vysoká pravděpodobnost sepse. </w:t>
      </w:r>
      <w:r w:rsidRPr="00121908">
        <w:rPr>
          <w:rFonts w:ascii="Times New Roman" w:hAnsi="Times New Roman" w:cs="Times New Roman"/>
          <w:b/>
          <w:bCs/>
          <w:sz w:val="24"/>
          <w:szCs w:val="24"/>
        </w:rPr>
        <w:t>Sedimentace erytrocytů (FW)</w:t>
      </w:r>
      <w:r w:rsidRPr="00121908">
        <w:rPr>
          <w:rFonts w:ascii="Times New Roman" w:hAnsi="Times New Roman" w:cs="Times New Roman"/>
          <w:bCs/>
          <w:sz w:val="24"/>
          <w:szCs w:val="24"/>
        </w:rPr>
        <w:t xml:space="preserve"> je komplexní marker s delším nástupem, nehodí se pro diagnostiku akutního zánětu.</w:t>
      </w:r>
    </w:p>
    <w:p w:rsidR="00C20695" w:rsidRPr="00121908" w:rsidRDefault="00C20695" w:rsidP="00121908">
      <w:pPr>
        <w:spacing w:line="360" w:lineRule="auto"/>
        <w:rPr>
          <w:rFonts w:ascii="Times New Roman" w:hAnsi="Times New Roman" w:cs="Times New Roman"/>
          <w:b/>
          <w:bCs/>
          <w:sz w:val="24"/>
          <w:szCs w:val="24"/>
        </w:rPr>
      </w:pPr>
    </w:p>
    <w:p w:rsidR="00C20695" w:rsidRPr="00121908" w:rsidRDefault="00C20695" w:rsidP="00121908">
      <w:pPr>
        <w:spacing w:line="360" w:lineRule="auto"/>
        <w:rPr>
          <w:rFonts w:ascii="Times New Roman" w:hAnsi="Times New Roman" w:cs="Times New Roman"/>
          <w:b/>
          <w:bCs/>
          <w:sz w:val="24"/>
          <w:szCs w:val="24"/>
        </w:rPr>
      </w:pPr>
      <w:r w:rsidRPr="00121908">
        <w:rPr>
          <w:rFonts w:ascii="Times New Roman" w:hAnsi="Times New Roman" w:cs="Times New Roman"/>
          <w:b/>
          <w:bCs/>
          <w:sz w:val="24"/>
          <w:szCs w:val="24"/>
        </w:rPr>
        <w:t>Závěr</w:t>
      </w:r>
    </w:p>
    <w:p w:rsidR="0034659A" w:rsidRDefault="00EC0372" w:rsidP="00121908">
      <w:pPr>
        <w:spacing w:line="360" w:lineRule="auto"/>
        <w:rPr>
          <w:rFonts w:ascii="Times New Roman" w:hAnsi="Times New Roman" w:cs="Times New Roman"/>
          <w:bCs/>
          <w:sz w:val="24"/>
          <w:szCs w:val="24"/>
        </w:rPr>
      </w:pPr>
      <w:r>
        <w:rPr>
          <w:rFonts w:ascii="Times New Roman" w:hAnsi="Times New Roman" w:cs="Times New Roman"/>
          <w:bCs/>
          <w:sz w:val="24"/>
          <w:szCs w:val="24"/>
        </w:rPr>
        <w:t>Monitorace nutriční podpory u pacienta se selhaným střevem by měla být velmi komplexní. Měla by odkrýt případné minerálové dysbalance, poruchy vnitřního prostředí,</w:t>
      </w:r>
      <w:r w:rsidR="00256FB9">
        <w:rPr>
          <w:rFonts w:ascii="Times New Roman" w:hAnsi="Times New Roman" w:cs="Times New Roman"/>
          <w:bCs/>
          <w:sz w:val="24"/>
          <w:szCs w:val="24"/>
        </w:rPr>
        <w:t xml:space="preserve"> popsat</w:t>
      </w:r>
      <w:r>
        <w:rPr>
          <w:rFonts w:ascii="Times New Roman" w:hAnsi="Times New Roman" w:cs="Times New Roman"/>
          <w:bCs/>
          <w:sz w:val="24"/>
          <w:szCs w:val="24"/>
        </w:rPr>
        <w:t xml:space="preserve"> stav orgánových funkcí, přítomnou nebo hrozící malnutrici. Měla by monitorovat dopad léčebné výživy na organizmus, odhalit</w:t>
      </w:r>
      <w:r w:rsidR="00256FB9">
        <w:rPr>
          <w:rFonts w:ascii="Times New Roman" w:hAnsi="Times New Roman" w:cs="Times New Roman"/>
          <w:bCs/>
          <w:sz w:val="24"/>
          <w:szCs w:val="24"/>
        </w:rPr>
        <w:t xml:space="preserve"> případné</w:t>
      </w:r>
      <w:r>
        <w:rPr>
          <w:rFonts w:ascii="Times New Roman" w:hAnsi="Times New Roman" w:cs="Times New Roman"/>
          <w:bCs/>
          <w:sz w:val="24"/>
          <w:szCs w:val="24"/>
        </w:rPr>
        <w:t xml:space="preserve"> nežádoucí (toxické) účinky terapie. Pečlivou monitorací tak m</w:t>
      </w:r>
      <w:r w:rsidR="0034659A" w:rsidRPr="00121908">
        <w:rPr>
          <w:rFonts w:ascii="Times New Roman" w:hAnsi="Times New Roman" w:cs="Times New Roman"/>
          <w:bCs/>
          <w:sz w:val="24"/>
          <w:szCs w:val="24"/>
        </w:rPr>
        <w:t xml:space="preserve">ůžeme </w:t>
      </w:r>
      <w:r w:rsidR="00256FB9">
        <w:rPr>
          <w:rFonts w:ascii="Times New Roman" w:hAnsi="Times New Roman" w:cs="Times New Roman"/>
          <w:bCs/>
          <w:sz w:val="24"/>
          <w:szCs w:val="24"/>
        </w:rPr>
        <w:t xml:space="preserve">včas </w:t>
      </w:r>
      <w:r w:rsidR="0034659A" w:rsidRPr="00121908">
        <w:rPr>
          <w:rFonts w:ascii="Times New Roman" w:hAnsi="Times New Roman" w:cs="Times New Roman"/>
          <w:bCs/>
          <w:sz w:val="24"/>
          <w:szCs w:val="24"/>
        </w:rPr>
        <w:t xml:space="preserve">předejít </w:t>
      </w:r>
      <w:r w:rsidR="00256FB9">
        <w:rPr>
          <w:rFonts w:ascii="Times New Roman" w:hAnsi="Times New Roman" w:cs="Times New Roman"/>
          <w:bCs/>
          <w:sz w:val="24"/>
          <w:szCs w:val="24"/>
        </w:rPr>
        <w:t>těžkým komplikacím spojených s metabolickým rozvratem, či sepsí.</w:t>
      </w:r>
      <w:r w:rsidR="0034659A" w:rsidRPr="00121908">
        <w:rPr>
          <w:rFonts w:ascii="Times New Roman" w:hAnsi="Times New Roman" w:cs="Times New Roman"/>
          <w:bCs/>
          <w:sz w:val="24"/>
          <w:szCs w:val="24"/>
        </w:rPr>
        <w:t xml:space="preserve"> Frekvence a rozsah vyšetřování vždy záleží na </w:t>
      </w:r>
      <w:r w:rsidR="00256FB9">
        <w:rPr>
          <w:rFonts w:ascii="Times New Roman" w:hAnsi="Times New Roman" w:cs="Times New Roman"/>
          <w:bCs/>
          <w:sz w:val="24"/>
          <w:szCs w:val="24"/>
        </w:rPr>
        <w:t>více</w:t>
      </w:r>
      <w:r w:rsidR="0034659A" w:rsidRPr="00121908">
        <w:rPr>
          <w:rFonts w:ascii="Times New Roman" w:hAnsi="Times New Roman" w:cs="Times New Roman"/>
          <w:bCs/>
          <w:sz w:val="24"/>
          <w:szCs w:val="24"/>
        </w:rPr>
        <w:t xml:space="preserve"> parametrech. Zásadní je tíže aktuálního stavu, ale i přítomnost dalších komorbidit. </w:t>
      </w:r>
      <w:r w:rsidR="00256FB9" w:rsidRPr="00121908">
        <w:rPr>
          <w:rFonts w:ascii="Times New Roman" w:hAnsi="Times New Roman" w:cs="Times New Roman"/>
          <w:bCs/>
          <w:sz w:val="24"/>
          <w:szCs w:val="24"/>
        </w:rPr>
        <w:t>Neexistuje jeden marker, který by podal jasnou odpověď, zda a jak je pacient malnutricí ohrožen</w:t>
      </w:r>
      <w:r w:rsidR="00256FB9">
        <w:rPr>
          <w:rFonts w:ascii="Times New Roman" w:hAnsi="Times New Roman" w:cs="Times New Roman"/>
          <w:bCs/>
          <w:sz w:val="24"/>
          <w:szCs w:val="24"/>
        </w:rPr>
        <w:t>,</w:t>
      </w:r>
      <w:r w:rsidR="00256FB9" w:rsidRPr="00121908">
        <w:rPr>
          <w:rFonts w:ascii="Times New Roman" w:hAnsi="Times New Roman" w:cs="Times New Roman"/>
          <w:bCs/>
          <w:sz w:val="24"/>
          <w:szCs w:val="24"/>
        </w:rPr>
        <w:t xml:space="preserve"> v jakém stavu jsou jeho orgánové funkce</w:t>
      </w:r>
      <w:r w:rsidR="00256FB9">
        <w:rPr>
          <w:rFonts w:ascii="Times New Roman" w:hAnsi="Times New Roman" w:cs="Times New Roman"/>
          <w:bCs/>
          <w:sz w:val="24"/>
          <w:szCs w:val="24"/>
        </w:rPr>
        <w:t xml:space="preserve"> a zda je přítomna zánětlivá komplikace</w:t>
      </w:r>
      <w:r w:rsidR="00256FB9" w:rsidRPr="00121908">
        <w:rPr>
          <w:rFonts w:ascii="Times New Roman" w:hAnsi="Times New Roman" w:cs="Times New Roman"/>
          <w:bCs/>
          <w:sz w:val="24"/>
          <w:szCs w:val="24"/>
        </w:rPr>
        <w:t>. Posouzení stavu pacienta a rozhodnutí o dalším postupu by mělo vycházet z celkové analýzy klinických a laboratorních dat, při respektování základních</w:t>
      </w:r>
      <w:r w:rsidR="00256FB9">
        <w:rPr>
          <w:rFonts w:ascii="Times New Roman" w:hAnsi="Times New Roman" w:cs="Times New Roman"/>
          <w:bCs/>
          <w:sz w:val="24"/>
          <w:szCs w:val="24"/>
        </w:rPr>
        <w:t xml:space="preserve"> patofyziologických mechanismů. </w:t>
      </w:r>
      <w:r w:rsidR="0034659A" w:rsidRPr="00121908">
        <w:rPr>
          <w:rFonts w:ascii="Times New Roman" w:hAnsi="Times New Roman" w:cs="Times New Roman"/>
          <w:bCs/>
          <w:sz w:val="24"/>
          <w:szCs w:val="24"/>
        </w:rPr>
        <w:t>Velice důležitý je také přístup a spolupráce pacienta.</w:t>
      </w:r>
    </w:p>
    <w:p w:rsidR="00D7235A" w:rsidRDefault="00D7235A" w:rsidP="00121908">
      <w:pPr>
        <w:spacing w:line="360" w:lineRule="auto"/>
        <w:rPr>
          <w:rFonts w:ascii="Times New Roman" w:hAnsi="Times New Roman" w:cs="Times New Roman"/>
          <w:bCs/>
          <w:sz w:val="24"/>
          <w:szCs w:val="24"/>
        </w:rPr>
      </w:pPr>
    </w:p>
    <w:p w:rsidR="00D7235A" w:rsidRDefault="00D7235A" w:rsidP="00121908">
      <w:pPr>
        <w:spacing w:line="360" w:lineRule="auto"/>
        <w:rPr>
          <w:rFonts w:ascii="Times New Roman" w:hAnsi="Times New Roman" w:cs="Times New Roman"/>
          <w:b/>
          <w:bCs/>
          <w:sz w:val="24"/>
          <w:szCs w:val="24"/>
        </w:rPr>
      </w:pPr>
      <w:r w:rsidRPr="00D7235A">
        <w:rPr>
          <w:rFonts w:ascii="Times New Roman" w:hAnsi="Times New Roman" w:cs="Times New Roman"/>
          <w:b/>
          <w:bCs/>
          <w:sz w:val="24"/>
          <w:szCs w:val="24"/>
        </w:rPr>
        <w:t>Literatura</w:t>
      </w:r>
    </w:p>
    <w:p w:rsidR="00D7235A" w:rsidRDefault="00D7235A" w:rsidP="00121908">
      <w:pPr>
        <w:spacing w:line="360" w:lineRule="auto"/>
      </w:pPr>
      <w:r>
        <w:t xml:space="preserve">FRYER, Jonathan P. </w:t>
      </w:r>
      <w:r>
        <w:rPr>
          <w:i/>
          <w:iCs/>
        </w:rPr>
        <w:t>The current status of intestinal transplantation</w:t>
      </w:r>
      <w:r>
        <w:t>. DOI: 10.1097/MOT.0b013e3282fd6901. ISBN 10.1097/MOT.0b013e3282fd6901.</w:t>
      </w:r>
    </w:p>
    <w:p w:rsidR="00C15635" w:rsidRDefault="00C15635" w:rsidP="00121908">
      <w:pPr>
        <w:spacing w:line="360" w:lineRule="auto"/>
      </w:pPr>
      <w:r>
        <w:t xml:space="preserve">MATARESE, Laura. 2010. Matarese, L. E. (2010). Nutrition interventions before and after adult intestinal transplantation: The pittsburgh experience. </w:t>
      </w:r>
      <w:r>
        <w:rPr>
          <w:i/>
          <w:iCs/>
        </w:rPr>
        <w:t>Practical Gastroenterology</w:t>
      </w:r>
      <w:r>
        <w:t xml:space="preserve">. </w:t>
      </w:r>
      <w:r>
        <w:rPr>
          <w:b/>
          <w:bCs/>
        </w:rPr>
        <w:t>34</w:t>
      </w:r>
      <w:r>
        <w:t>(11), 11-26.</w:t>
      </w:r>
    </w:p>
    <w:p w:rsidR="0072495E" w:rsidRDefault="0072495E" w:rsidP="00121908">
      <w:pPr>
        <w:spacing w:line="360" w:lineRule="auto"/>
      </w:pPr>
      <w:r>
        <w:t xml:space="preserve">MEIRA FILHO, Sérgio Paiva, Bianca Della GUARDIA, Andréia Silva EVANGELISTA, et al. </w:t>
      </w:r>
      <w:r>
        <w:rPr>
          <w:i/>
          <w:iCs/>
        </w:rPr>
        <w:t>Intestinal and multivisceral transplantation</w:t>
      </w:r>
      <w:r>
        <w:t>. DOI: 10.1590/S1679-45082015RW3155. ISBN 10.1590/S1679-45082015RW3155.</w:t>
      </w:r>
    </w:p>
    <w:p w:rsidR="00270CAC" w:rsidRDefault="00270CAC" w:rsidP="00121908">
      <w:pPr>
        <w:spacing w:line="360" w:lineRule="auto"/>
      </w:pPr>
      <w:r>
        <w:t xml:space="preserve">ROVERA, G., R. SCHOEN, B GOLDBACH, et al. </w:t>
      </w:r>
      <w:r>
        <w:rPr>
          <w:i/>
          <w:iCs/>
        </w:rPr>
        <w:t>Intestinal and multivisceral transplantation: dynamics of nutritional management and functional autonomy</w:t>
      </w:r>
      <w:r>
        <w:t>. DOI: 10.1177/0148607103027004252. ISBN 10.1177/0148607103027004252</w:t>
      </w:r>
    </w:p>
    <w:p w:rsidR="00E212D8" w:rsidRDefault="00E212D8" w:rsidP="00121908">
      <w:pPr>
        <w:spacing w:line="360" w:lineRule="auto"/>
      </w:pPr>
      <w:r>
        <w:t xml:space="preserve">ZELTZER, Stuart M., David O. TAYLOR a W.H. Wilson TANG. </w:t>
      </w:r>
      <w:r>
        <w:rPr>
          <w:i/>
          <w:iCs/>
        </w:rPr>
        <w:t>Long-term dietary habits and interventions in solid-organ transplantation</w:t>
      </w:r>
      <w:r>
        <w:t>. DOI: 10.1016/j.healun.2015.06.014. ISBN 10.1016/j.healun.2015.06.014.</w:t>
      </w:r>
    </w:p>
    <w:p w:rsidR="00270CAC" w:rsidRDefault="00391EAA" w:rsidP="00121908">
      <w:pPr>
        <w:spacing w:line="360" w:lineRule="auto"/>
      </w:pPr>
      <w:r>
        <w:lastRenderedPageBreak/>
        <w:t xml:space="preserve">WESEMAN, R. A. a R. GILROY. </w:t>
      </w:r>
      <w:r>
        <w:rPr>
          <w:i/>
          <w:iCs/>
        </w:rPr>
        <w:t>Nutrition Management of Small Bowel Transplant Patients</w:t>
      </w:r>
      <w:r>
        <w:t>. DOI: 10.1177/0115426505020005509. ISBN 10.1177/0115426505020005509</w:t>
      </w:r>
    </w:p>
    <w:p w:rsidR="00712648" w:rsidRDefault="00712648" w:rsidP="00121908">
      <w:pPr>
        <w:spacing w:line="360" w:lineRule="auto"/>
      </w:pPr>
      <w:r>
        <w:t xml:space="preserve">ZAZULA, Roman, Miroslav PRUCHA, Tomas TYLL a Eva KIESLICHOVA. 2007. Induction of procalcitonin in liver transplant patients treated with anti-thymocyte globulin. </w:t>
      </w:r>
      <w:r>
        <w:rPr>
          <w:i/>
          <w:iCs/>
        </w:rPr>
        <w:t>Critical Care</w:t>
      </w:r>
      <w:r>
        <w:t xml:space="preserve">. </w:t>
      </w:r>
      <w:r>
        <w:rPr>
          <w:b/>
          <w:bCs/>
        </w:rPr>
        <w:t>11</w:t>
      </w:r>
      <w:r>
        <w:t>(6), R131-. DOI: 10.1186/cc6202. ISSN 1364-8535</w:t>
      </w:r>
    </w:p>
    <w:p w:rsidR="00712648" w:rsidRDefault="00712648" w:rsidP="00121908">
      <w:pPr>
        <w:spacing w:line="360" w:lineRule="auto"/>
      </w:pPr>
      <w:r>
        <w:t xml:space="preserve">SINGER, Pierre, Mette M. BERGER, Greet VAN DEN BERGHE, et al. </w:t>
      </w:r>
      <w:r>
        <w:rPr>
          <w:i/>
          <w:iCs/>
        </w:rPr>
        <w:t>ESPEN Guidelines on Parenteral Nutrition: Intensive care</w:t>
      </w:r>
      <w:r>
        <w:t>. DOI: 10.1016/j.clnu.2009.04.024. ISBN 10.1016/j.clnu.2009.04.024.</w:t>
      </w:r>
    </w:p>
    <w:p w:rsidR="009B3E7D" w:rsidRDefault="009B3E7D" w:rsidP="00121908">
      <w:pPr>
        <w:spacing w:line="360" w:lineRule="auto"/>
      </w:pPr>
      <w:r>
        <w:t xml:space="preserve">BRODSKA, Helena, Karin MALICKOVA, Marketa STASTNA a Tomas ZIMA. 2014. </w:t>
      </w:r>
      <w:r>
        <w:rPr>
          <w:i/>
          <w:iCs/>
        </w:rPr>
        <w:t>Pitfalls in the Laboratory Assessment of Serum Prealbumin Levels in Hemato-Oncological Patients</w:t>
      </w:r>
      <w:r>
        <w:t xml:space="preserve">. </w:t>
      </w:r>
      <w:r>
        <w:rPr>
          <w:b/>
          <w:bCs/>
        </w:rPr>
        <w:t>vol.60</w:t>
      </w:r>
      <w:r>
        <w:t>(issue11), 1937-1941. DOI: 10.7754/Clin.Lab.2014.140201. ISSN 1433-6510.</w:t>
      </w:r>
    </w:p>
    <w:p w:rsidR="00712648" w:rsidRDefault="00712648" w:rsidP="00121908">
      <w:pPr>
        <w:spacing w:line="360" w:lineRule="auto"/>
      </w:pPr>
      <w:r>
        <w:t xml:space="preserve">DUNCAN, A., D. TALWAR, D. C. MCMILLAN, F. STEFANOWICZ a D. S. J. O'REILLY. 2011. Quantitative data on the magnitude of the systemic inflammatory response and its effect on micronutrient status based on plasma measurements. </w:t>
      </w:r>
      <w:r>
        <w:rPr>
          <w:i/>
          <w:iCs/>
        </w:rPr>
        <w:t>American Journal of Clinical Nutrition</w:t>
      </w:r>
      <w:r>
        <w:t xml:space="preserve">. </w:t>
      </w:r>
      <w:r>
        <w:rPr>
          <w:b/>
          <w:bCs/>
        </w:rPr>
        <w:t>95</w:t>
      </w:r>
      <w:r>
        <w:t>(1), 64-71. DOI: 10.3945/ajcn.111.023812. ISSN 0002-9165.</w:t>
      </w:r>
    </w:p>
    <w:p w:rsidR="00822901" w:rsidRDefault="00822901" w:rsidP="00121908">
      <w:pPr>
        <w:spacing w:line="360" w:lineRule="auto"/>
      </w:pPr>
      <w:r>
        <w:t xml:space="preserve">LAGROST, Laurent, Claude GIRARD, Sandrine GROSJEAN, et al. 2014. Low Preoperative Cholesterol Level Is a Risk Factor of Sepsis and Poor Clinical Outcome in Patients Undergoing Cardiac Surgery With Cardiopulmonary Bypass*. </w:t>
      </w:r>
      <w:r>
        <w:rPr>
          <w:i/>
          <w:iCs/>
        </w:rPr>
        <w:t>Critical Care Medicine</w:t>
      </w:r>
      <w:r>
        <w:t xml:space="preserve">. </w:t>
      </w:r>
      <w:r>
        <w:rPr>
          <w:b/>
          <w:bCs/>
        </w:rPr>
        <w:t>42</w:t>
      </w:r>
      <w:r>
        <w:t>(5), 1065-1073. DOI: 10.1097/CCM.0000000000000165. ISSN 0090-3493.</w:t>
      </w:r>
    </w:p>
    <w:p w:rsidR="00822901" w:rsidRDefault="00822901" w:rsidP="00121908">
      <w:pPr>
        <w:spacing w:line="360" w:lineRule="auto"/>
      </w:pPr>
      <w:r>
        <w:t xml:space="preserve">REINHART, Konrad a Michael MEISNER. 2011. Biomarkers in the Critically Ill Patient: Procalcitonin. </w:t>
      </w:r>
      <w:r>
        <w:rPr>
          <w:i/>
          <w:iCs/>
        </w:rPr>
        <w:t>Critical Care Clinics</w:t>
      </w:r>
      <w:r>
        <w:t xml:space="preserve">. </w:t>
      </w:r>
      <w:r>
        <w:rPr>
          <w:b/>
          <w:bCs/>
        </w:rPr>
        <w:t>27</w:t>
      </w:r>
      <w:r>
        <w:t>(2), 253-263. DOI: 10.1016/j.ccc.2011.01.002. ISSN 07490704.</w:t>
      </w:r>
    </w:p>
    <w:p w:rsidR="0006080A" w:rsidRDefault="0006080A" w:rsidP="00121908">
      <w:pPr>
        <w:spacing w:line="360" w:lineRule="auto"/>
      </w:pPr>
      <w:r w:rsidRPr="00D2240F">
        <w:rPr>
          <w:rFonts w:ascii="Times New Roman" w:hAnsi="Times New Roman" w:cs="Times New Roman"/>
          <w:bCs/>
          <w:iCs/>
          <w:sz w:val="24"/>
          <w:szCs w:val="24"/>
        </w:rPr>
        <w:t>Rio A, Whelan K, Goff L, Reidlinger DP, Smeeton N. Occurrence of refeeding syndrome in adults started on artificial nutrition support: prospective cohort study. BMJ Open 2013; 3: e002173</w:t>
      </w:r>
    </w:p>
    <w:p w:rsidR="00432268" w:rsidRDefault="00432268" w:rsidP="00121908">
      <w:pPr>
        <w:spacing w:line="360" w:lineRule="auto"/>
      </w:pPr>
      <w:r>
        <w:t xml:space="preserve">BRODSKA, Helena, Tomas DRABEK, Karin MALICKOVA, Antonin KAZDA, Antonin VITEK, Tomas ZIMA a Marketa MARKOVA. 2009. Marked increase of procalcitonin after the administration of anti-thymocyte globulin in patients before hematopoietic stem cell transplantation does not indicate sepsis: a prospective study. </w:t>
      </w:r>
      <w:r>
        <w:rPr>
          <w:i/>
          <w:iCs/>
        </w:rPr>
        <w:t>Critical Care</w:t>
      </w:r>
      <w:r>
        <w:t xml:space="preserve">. </w:t>
      </w:r>
      <w:r>
        <w:rPr>
          <w:b/>
          <w:bCs/>
        </w:rPr>
        <w:t>13</w:t>
      </w:r>
      <w:r>
        <w:t>(2), R37-. DOI: 10.1186/cc7749. ISSN 1364-8535.</w:t>
      </w:r>
    </w:p>
    <w:p w:rsidR="00D67A53" w:rsidRPr="00D7235A" w:rsidRDefault="00D67A53" w:rsidP="00121908">
      <w:pPr>
        <w:spacing w:line="360" w:lineRule="auto"/>
        <w:rPr>
          <w:rFonts w:ascii="Times New Roman" w:hAnsi="Times New Roman" w:cs="Times New Roman"/>
          <w:b/>
          <w:bCs/>
          <w:sz w:val="24"/>
          <w:szCs w:val="24"/>
        </w:rPr>
      </w:pPr>
      <w:r>
        <w:t xml:space="preserve">NIGHTINGALE, J. </w:t>
      </w:r>
      <w:r>
        <w:rPr>
          <w:i/>
          <w:iCs/>
        </w:rPr>
        <w:t>Guidelines for management of patients with a short bowel</w:t>
      </w:r>
      <w:r>
        <w:t>. DOI: 10.1136/gut.2006.091108. ISBN 10.1136/gut.2006.091108.</w:t>
      </w:r>
    </w:p>
    <w:p w:rsidR="0034659A" w:rsidRDefault="0034659A" w:rsidP="00121908">
      <w:pPr>
        <w:spacing w:line="360" w:lineRule="auto"/>
        <w:rPr>
          <w:rFonts w:ascii="Times New Roman" w:hAnsi="Times New Roman" w:cs="Times New Roman"/>
          <w:bCs/>
          <w:sz w:val="24"/>
          <w:szCs w:val="24"/>
        </w:rPr>
      </w:pPr>
    </w:p>
    <w:p w:rsidR="008E4AEB" w:rsidRDefault="008E4AEB" w:rsidP="00121908">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Rejstřík: Vnitřní prostředí, makronutrienty, mikronutrienty, orgánové funkce, malabsorbce, hepatopatie, laboratorní monitorace.</w:t>
      </w:r>
    </w:p>
    <w:p w:rsidR="008E4AEB" w:rsidRDefault="008E4AEB" w:rsidP="00121908">
      <w:pPr>
        <w:spacing w:line="360" w:lineRule="auto"/>
        <w:rPr>
          <w:rFonts w:ascii="Times New Roman" w:hAnsi="Times New Roman" w:cs="Times New Roman"/>
          <w:bCs/>
          <w:sz w:val="24"/>
          <w:szCs w:val="24"/>
        </w:rPr>
      </w:pPr>
    </w:p>
    <w:p w:rsidR="008E4AEB" w:rsidRPr="00121908" w:rsidRDefault="008E4AEB" w:rsidP="00121908">
      <w:pPr>
        <w:spacing w:line="360" w:lineRule="auto"/>
        <w:rPr>
          <w:rFonts w:ascii="Times New Roman" w:hAnsi="Times New Roman" w:cs="Times New Roman"/>
          <w:bCs/>
          <w:sz w:val="24"/>
          <w:szCs w:val="24"/>
        </w:rPr>
      </w:pPr>
      <w:r>
        <w:rPr>
          <w:rFonts w:ascii="Times New Roman" w:hAnsi="Times New Roman" w:cs="Times New Roman"/>
          <w:bCs/>
          <w:sz w:val="24"/>
          <w:szCs w:val="24"/>
        </w:rPr>
        <w:t>MUDr Helena Brodská PhD, klinická biochemička</w:t>
      </w:r>
      <w:r w:rsidR="00BE1AE6">
        <w:rPr>
          <w:rFonts w:ascii="Times New Roman" w:hAnsi="Times New Roman" w:cs="Times New Roman"/>
          <w:bCs/>
          <w:sz w:val="24"/>
          <w:szCs w:val="24"/>
        </w:rPr>
        <w:t xml:space="preserve"> Ústavu lékařské biochemie a laboratorní diagnostiky 1.LF UK v Praze.</w:t>
      </w:r>
      <w:r>
        <w:rPr>
          <w:rFonts w:ascii="Times New Roman" w:hAnsi="Times New Roman" w:cs="Times New Roman"/>
          <w:bCs/>
          <w:sz w:val="24"/>
          <w:szCs w:val="24"/>
        </w:rPr>
        <w:t xml:space="preserve"> Specializuje se na problematiku kriticky nemocných, laboratorní diagnostiku systémového zánětu a </w:t>
      </w:r>
      <w:r w:rsidR="000666A0">
        <w:rPr>
          <w:rFonts w:ascii="Times New Roman" w:hAnsi="Times New Roman" w:cs="Times New Roman"/>
          <w:bCs/>
          <w:sz w:val="24"/>
          <w:szCs w:val="24"/>
        </w:rPr>
        <w:t xml:space="preserve">monitoraci </w:t>
      </w:r>
      <w:r>
        <w:rPr>
          <w:rFonts w:ascii="Times New Roman" w:hAnsi="Times New Roman" w:cs="Times New Roman"/>
          <w:bCs/>
          <w:sz w:val="24"/>
          <w:szCs w:val="24"/>
        </w:rPr>
        <w:t xml:space="preserve">nutriční intervence. </w:t>
      </w:r>
    </w:p>
    <w:p w:rsidR="0034659A" w:rsidRPr="00121908" w:rsidRDefault="0034659A" w:rsidP="00121908">
      <w:pPr>
        <w:spacing w:line="360" w:lineRule="auto"/>
        <w:rPr>
          <w:rFonts w:ascii="Times New Roman" w:hAnsi="Times New Roman" w:cs="Times New Roman"/>
          <w:b/>
          <w:bCs/>
          <w:sz w:val="24"/>
          <w:szCs w:val="24"/>
        </w:rPr>
      </w:pPr>
    </w:p>
    <w:p w:rsidR="00C20695" w:rsidRDefault="00C20695" w:rsidP="007518CC">
      <w:pPr>
        <w:pStyle w:val="Normlnweb"/>
      </w:pPr>
    </w:p>
    <w:p w:rsidR="00274BB1" w:rsidRDefault="00274BB1"/>
    <w:sectPr w:rsidR="00274BB1" w:rsidSect="00026E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86" w:rsidRDefault="00A17A86" w:rsidP="00AD51E9">
      <w:pPr>
        <w:spacing w:after="0" w:line="240" w:lineRule="auto"/>
      </w:pPr>
      <w:r>
        <w:separator/>
      </w:r>
    </w:p>
  </w:endnote>
  <w:endnote w:type="continuationSeparator" w:id="0">
    <w:p w:rsidR="00A17A86" w:rsidRDefault="00A17A86" w:rsidP="00AD5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86" w:rsidRDefault="00A17A86" w:rsidP="00AD51E9">
      <w:pPr>
        <w:spacing w:after="0" w:line="240" w:lineRule="auto"/>
      </w:pPr>
      <w:r>
        <w:separator/>
      </w:r>
    </w:p>
  </w:footnote>
  <w:footnote w:type="continuationSeparator" w:id="0">
    <w:p w:rsidR="00A17A86" w:rsidRDefault="00A17A86" w:rsidP="00AD5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6DB9"/>
    <w:multiLevelType w:val="hybridMultilevel"/>
    <w:tmpl w:val="30D4C17A"/>
    <w:lvl w:ilvl="0" w:tplc="04D80F68">
      <w:start w:val="1"/>
      <w:numFmt w:val="bullet"/>
      <w:lvlText w:val="•"/>
      <w:lvlJc w:val="left"/>
      <w:pPr>
        <w:tabs>
          <w:tab w:val="num" w:pos="720"/>
        </w:tabs>
        <w:ind w:left="720" w:hanging="360"/>
      </w:pPr>
      <w:rPr>
        <w:rFonts w:ascii="Arial" w:hAnsi="Arial" w:hint="default"/>
      </w:rPr>
    </w:lvl>
    <w:lvl w:ilvl="1" w:tplc="657CDBEC" w:tentative="1">
      <w:start w:val="1"/>
      <w:numFmt w:val="bullet"/>
      <w:lvlText w:val="•"/>
      <w:lvlJc w:val="left"/>
      <w:pPr>
        <w:tabs>
          <w:tab w:val="num" w:pos="1440"/>
        </w:tabs>
        <w:ind w:left="1440" w:hanging="360"/>
      </w:pPr>
      <w:rPr>
        <w:rFonts w:ascii="Arial" w:hAnsi="Arial" w:hint="default"/>
      </w:rPr>
    </w:lvl>
    <w:lvl w:ilvl="2" w:tplc="AB6850E4" w:tentative="1">
      <w:start w:val="1"/>
      <w:numFmt w:val="bullet"/>
      <w:lvlText w:val="•"/>
      <w:lvlJc w:val="left"/>
      <w:pPr>
        <w:tabs>
          <w:tab w:val="num" w:pos="2160"/>
        </w:tabs>
        <w:ind w:left="2160" w:hanging="360"/>
      </w:pPr>
      <w:rPr>
        <w:rFonts w:ascii="Arial" w:hAnsi="Arial" w:hint="default"/>
      </w:rPr>
    </w:lvl>
    <w:lvl w:ilvl="3" w:tplc="8E34EDF0" w:tentative="1">
      <w:start w:val="1"/>
      <w:numFmt w:val="bullet"/>
      <w:lvlText w:val="•"/>
      <w:lvlJc w:val="left"/>
      <w:pPr>
        <w:tabs>
          <w:tab w:val="num" w:pos="2880"/>
        </w:tabs>
        <w:ind w:left="2880" w:hanging="360"/>
      </w:pPr>
      <w:rPr>
        <w:rFonts w:ascii="Arial" w:hAnsi="Arial" w:hint="default"/>
      </w:rPr>
    </w:lvl>
    <w:lvl w:ilvl="4" w:tplc="B7A02E84" w:tentative="1">
      <w:start w:val="1"/>
      <w:numFmt w:val="bullet"/>
      <w:lvlText w:val="•"/>
      <w:lvlJc w:val="left"/>
      <w:pPr>
        <w:tabs>
          <w:tab w:val="num" w:pos="3600"/>
        </w:tabs>
        <w:ind w:left="3600" w:hanging="360"/>
      </w:pPr>
      <w:rPr>
        <w:rFonts w:ascii="Arial" w:hAnsi="Arial" w:hint="default"/>
      </w:rPr>
    </w:lvl>
    <w:lvl w:ilvl="5" w:tplc="DBF857CE" w:tentative="1">
      <w:start w:val="1"/>
      <w:numFmt w:val="bullet"/>
      <w:lvlText w:val="•"/>
      <w:lvlJc w:val="left"/>
      <w:pPr>
        <w:tabs>
          <w:tab w:val="num" w:pos="4320"/>
        </w:tabs>
        <w:ind w:left="4320" w:hanging="360"/>
      </w:pPr>
      <w:rPr>
        <w:rFonts w:ascii="Arial" w:hAnsi="Arial" w:hint="default"/>
      </w:rPr>
    </w:lvl>
    <w:lvl w:ilvl="6" w:tplc="EB5A5A9E" w:tentative="1">
      <w:start w:val="1"/>
      <w:numFmt w:val="bullet"/>
      <w:lvlText w:val="•"/>
      <w:lvlJc w:val="left"/>
      <w:pPr>
        <w:tabs>
          <w:tab w:val="num" w:pos="5040"/>
        </w:tabs>
        <w:ind w:left="5040" w:hanging="360"/>
      </w:pPr>
      <w:rPr>
        <w:rFonts w:ascii="Arial" w:hAnsi="Arial" w:hint="default"/>
      </w:rPr>
    </w:lvl>
    <w:lvl w:ilvl="7" w:tplc="E488EE80" w:tentative="1">
      <w:start w:val="1"/>
      <w:numFmt w:val="bullet"/>
      <w:lvlText w:val="•"/>
      <w:lvlJc w:val="left"/>
      <w:pPr>
        <w:tabs>
          <w:tab w:val="num" w:pos="5760"/>
        </w:tabs>
        <w:ind w:left="5760" w:hanging="360"/>
      </w:pPr>
      <w:rPr>
        <w:rFonts w:ascii="Arial" w:hAnsi="Arial" w:hint="default"/>
      </w:rPr>
    </w:lvl>
    <w:lvl w:ilvl="8" w:tplc="4D7ABB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18CC"/>
    <w:rsid w:val="00026EBD"/>
    <w:rsid w:val="0006080A"/>
    <w:rsid w:val="000666A0"/>
    <w:rsid w:val="000C0660"/>
    <w:rsid w:val="00121908"/>
    <w:rsid w:val="0013030D"/>
    <w:rsid w:val="001A2C4B"/>
    <w:rsid w:val="001F7CDE"/>
    <w:rsid w:val="0023130A"/>
    <w:rsid w:val="002504F1"/>
    <w:rsid w:val="00256FB9"/>
    <w:rsid w:val="00270CAC"/>
    <w:rsid w:val="00274BB1"/>
    <w:rsid w:val="002F25FC"/>
    <w:rsid w:val="0034659A"/>
    <w:rsid w:val="00391EAA"/>
    <w:rsid w:val="0042593A"/>
    <w:rsid w:val="00432268"/>
    <w:rsid w:val="00441A3C"/>
    <w:rsid w:val="0049643A"/>
    <w:rsid w:val="0056244E"/>
    <w:rsid w:val="005D1ECC"/>
    <w:rsid w:val="00695361"/>
    <w:rsid w:val="00712648"/>
    <w:rsid w:val="00724278"/>
    <w:rsid w:val="0072495E"/>
    <w:rsid w:val="00746B11"/>
    <w:rsid w:val="007518CC"/>
    <w:rsid w:val="007827AB"/>
    <w:rsid w:val="007E3EE4"/>
    <w:rsid w:val="00822901"/>
    <w:rsid w:val="00834971"/>
    <w:rsid w:val="00836B2F"/>
    <w:rsid w:val="008C0242"/>
    <w:rsid w:val="008E4AEB"/>
    <w:rsid w:val="008F2679"/>
    <w:rsid w:val="009033D8"/>
    <w:rsid w:val="0096304B"/>
    <w:rsid w:val="009706E6"/>
    <w:rsid w:val="009B3E7D"/>
    <w:rsid w:val="00A17A86"/>
    <w:rsid w:val="00A86ED8"/>
    <w:rsid w:val="00AD51E9"/>
    <w:rsid w:val="00B67AE1"/>
    <w:rsid w:val="00B7333D"/>
    <w:rsid w:val="00BA60CC"/>
    <w:rsid w:val="00BB58F2"/>
    <w:rsid w:val="00BE1AE6"/>
    <w:rsid w:val="00C006A5"/>
    <w:rsid w:val="00C15635"/>
    <w:rsid w:val="00C20695"/>
    <w:rsid w:val="00C35E83"/>
    <w:rsid w:val="00C82C2D"/>
    <w:rsid w:val="00D106AC"/>
    <w:rsid w:val="00D2240F"/>
    <w:rsid w:val="00D67A53"/>
    <w:rsid w:val="00D7235A"/>
    <w:rsid w:val="00DB0DC3"/>
    <w:rsid w:val="00DB2A87"/>
    <w:rsid w:val="00E212D8"/>
    <w:rsid w:val="00E4400D"/>
    <w:rsid w:val="00EC0372"/>
    <w:rsid w:val="00EF2A69"/>
    <w:rsid w:val="00F103AB"/>
    <w:rsid w:val="00F85D01"/>
    <w:rsid w:val="00F94F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E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518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B58F2"/>
    <w:pPr>
      <w:spacing w:after="0" w:line="240" w:lineRule="auto"/>
      <w:ind w:left="720"/>
      <w:contextualSpacing/>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7235A"/>
    <w:rPr>
      <w:i/>
      <w:iCs/>
    </w:rPr>
  </w:style>
</w:styles>
</file>

<file path=word/webSettings.xml><?xml version="1.0" encoding="utf-8"?>
<w:webSettings xmlns:r="http://schemas.openxmlformats.org/officeDocument/2006/relationships" xmlns:w="http://schemas.openxmlformats.org/wordprocessingml/2006/main">
  <w:divs>
    <w:div w:id="15735360">
      <w:bodyDiv w:val="1"/>
      <w:marLeft w:val="0"/>
      <w:marRight w:val="0"/>
      <w:marTop w:val="0"/>
      <w:marBottom w:val="0"/>
      <w:divBdr>
        <w:top w:val="none" w:sz="0" w:space="0" w:color="auto"/>
        <w:left w:val="none" w:sz="0" w:space="0" w:color="auto"/>
        <w:bottom w:val="none" w:sz="0" w:space="0" w:color="auto"/>
        <w:right w:val="none" w:sz="0" w:space="0" w:color="auto"/>
      </w:divBdr>
    </w:div>
    <w:div w:id="216823727">
      <w:bodyDiv w:val="1"/>
      <w:marLeft w:val="0"/>
      <w:marRight w:val="0"/>
      <w:marTop w:val="0"/>
      <w:marBottom w:val="0"/>
      <w:divBdr>
        <w:top w:val="none" w:sz="0" w:space="0" w:color="auto"/>
        <w:left w:val="none" w:sz="0" w:space="0" w:color="auto"/>
        <w:bottom w:val="none" w:sz="0" w:space="0" w:color="auto"/>
        <w:right w:val="none" w:sz="0" w:space="0" w:color="auto"/>
      </w:divBdr>
    </w:div>
    <w:div w:id="1803114356">
      <w:bodyDiv w:val="1"/>
      <w:marLeft w:val="0"/>
      <w:marRight w:val="0"/>
      <w:marTop w:val="0"/>
      <w:marBottom w:val="0"/>
      <w:divBdr>
        <w:top w:val="none" w:sz="0" w:space="0" w:color="auto"/>
        <w:left w:val="none" w:sz="0" w:space="0" w:color="auto"/>
        <w:bottom w:val="none" w:sz="0" w:space="0" w:color="auto"/>
        <w:right w:val="none" w:sz="0" w:space="0" w:color="auto"/>
      </w:divBdr>
      <w:divsChild>
        <w:div w:id="569583361">
          <w:marLeft w:val="547"/>
          <w:marRight w:val="0"/>
          <w:marTop w:val="77"/>
          <w:marBottom w:val="0"/>
          <w:divBdr>
            <w:top w:val="none" w:sz="0" w:space="0" w:color="auto"/>
            <w:left w:val="none" w:sz="0" w:space="0" w:color="auto"/>
            <w:bottom w:val="none" w:sz="0" w:space="0" w:color="auto"/>
            <w:right w:val="none" w:sz="0" w:space="0" w:color="auto"/>
          </w:divBdr>
        </w:div>
        <w:div w:id="101406531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4277</Words>
  <Characters>25241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VFN Praha</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Brodska Helena</dc:creator>
  <cp:lastModifiedBy>Ivan Šebesta</cp:lastModifiedBy>
  <cp:revision>2</cp:revision>
  <dcterms:created xsi:type="dcterms:W3CDTF">2020-01-10T11:56:00Z</dcterms:created>
  <dcterms:modified xsi:type="dcterms:W3CDTF">2020-01-10T11:56:00Z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Owner">
    <vt:lpwstr>2555@vfn.cz</vt:lpwstr>
  </property>
  <property fmtid="{D5CDD505-2E9C-101B-9397-08002B2CF9AE}" pid="5" name="MSIP_Label_2063cd7f-2d21-486a-9f29-9c1683fdd175_SetDate">
    <vt:lpwstr>2020-01-10T07:21:36.2793965Z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